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E5E5" w14:textId="1DE803CD" w:rsidR="00785B60" w:rsidRDefault="000F1749">
      <w:pPr>
        <w:spacing w:line="276" w:lineRule="auto"/>
        <w:ind w:right="-240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pl-PL"/>
        </w:rPr>
        <w:t>Got</w:t>
      </w:r>
      <w:r w:rsidR="00205F19">
        <w:rPr>
          <w:rFonts w:ascii="Arial" w:hAnsi="Arial" w:cs="Arial"/>
          <w:b/>
          <w:bCs/>
          <w:color w:val="000000"/>
          <w:sz w:val="32"/>
          <w:szCs w:val="32"/>
          <w:lang w:val="pl-PL"/>
        </w:rPr>
        <w:t xml:space="preserve">owy </w:t>
      </w:r>
      <w:r>
        <w:rPr>
          <w:rFonts w:ascii="Arial" w:hAnsi="Arial" w:cs="Arial"/>
          <w:b/>
          <w:bCs/>
          <w:color w:val="000000"/>
          <w:sz w:val="32"/>
          <w:szCs w:val="32"/>
          <w:lang w:val="pl-PL"/>
        </w:rPr>
        <w:t>do rywalizacji na torze Focus ST Edition – najbardziej kompletny hot-hatch Forda w historii</w:t>
      </w:r>
    </w:p>
    <w:p w14:paraId="649E6937" w14:textId="77777777" w:rsidR="00785B60" w:rsidRDefault="00785B60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2C3759D1" w14:textId="589A3287" w:rsidR="00785B60" w:rsidRDefault="000F1749">
      <w:pPr>
        <w:numPr>
          <w:ilvl w:val="0"/>
          <w:numId w:val="2"/>
        </w:numPr>
        <w:ind w:left="360"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Now</w:t>
      </w:r>
      <w:r w:rsidR="00205F19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Ford</w:t>
      </w:r>
      <w:r>
        <w:rPr>
          <w:rFonts w:ascii="Arial" w:hAnsi="Arial" w:cs="Arial"/>
          <w:sz w:val="22"/>
          <w:szCs w:val="22"/>
          <w:lang w:val="pl-PL"/>
        </w:rPr>
        <w:t xml:space="preserve"> Focus ST Edition wyposażon</w:t>
      </w:r>
      <w:r w:rsidR="00205F19">
        <w:rPr>
          <w:rFonts w:ascii="Arial" w:hAnsi="Arial" w:cs="Arial"/>
          <w:sz w:val="22"/>
          <w:szCs w:val="22"/>
          <w:lang w:val="pl-PL"/>
        </w:rPr>
        <w:t>y jest</w:t>
      </w:r>
      <w:r>
        <w:rPr>
          <w:rFonts w:ascii="Arial" w:hAnsi="Arial" w:cs="Arial"/>
          <w:sz w:val="22"/>
          <w:szCs w:val="22"/>
          <w:lang w:val="pl-PL"/>
        </w:rPr>
        <w:t xml:space="preserve"> w regulowane zawieszenie typowe dla samochodów wyścigowych, przednie hamulce Brembo i potężny silnik </w:t>
      </w:r>
      <w:r>
        <w:rPr>
          <w:rFonts w:ascii="Arial" w:hAnsi="Arial" w:cs="Arial"/>
          <w:sz w:val="22"/>
          <w:szCs w:val="22"/>
          <w:lang w:val="pl-PL"/>
        </w:rPr>
        <w:t>EcoBoost, zapewniający dynamikę zarówno na drodze, jak i na torze</w:t>
      </w:r>
    </w:p>
    <w:p w14:paraId="627D83E9" w14:textId="77777777" w:rsidR="00785B60" w:rsidRDefault="00785B60">
      <w:pPr>
        <w:ind w:right="720"/>
        <w:rPr>
          <w:rFonts w:ascii="Arial" w:hAnsi="Arial" w:cs="Arial"/>
          <w:b/>
          <w:sz w:val="22"/>
          <w:szCs w:val="22"/>
          <w:lang w:val="pl-PL"/>
        </w:rPr>
      </w:pPr>
    </w:p>
    <w:p w14:paraId="043A6B72" w14:textId="77777777" w:rsidR="00785B60" w:rsidRDefault="000F1749">
      <w:pPr>
        <w:numPr>
          <w:ilvl w:val="0"/>
          <w:numId w:val="2"/>
        </w:numPr>
        <w:ind w:left="360"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Standardowe wyposażenie obejmuje opcje, które użytkownicy Focusa ST wybierają najczęściej z myślą o wyższym komforcie codziennego użytkowania, m.in. system audio B&amp;O, pakiet systemów wspoma</w:t>
      </w:r>
      <w:r>
        <w:rPr>
          <w:rFonts w:ascii="Arial" w:hAnsi="Arial" w:cs="Arial"/>
          <w:sz w:val="22"/>
          <w:szCs w:val="22"/>
          <w:lang w:val="pl-PL"/>
        </w:rPr>
        <w:t>gania kierowcy i pakiet zimowy</w:t>
      </w:r>
    </w:p>
    <w:p w14:paraId="5038BA2C" w14:textId="77777777" w:rsidR="00785B60" w:rsidRDefault="00785B60">
      <w:pPr>
        <w:ind w:right="720"/>
        <w:rPr>
          <w:rFonts w:ascii="Arial" w:hAnsi="Arial" w:cs="Arial"/>
          <w:sz w:val="22"/>
          <w:szCs w:val="22"/>
          <w:lang w:val="pl-PL"/>
        </w:rPr>
      </w:pPr>
    </w:p>
    <w:p w14:paraId="2B4B07F2" w14:textId="77777777" w:rsidR="00785B60" w:rsidRDefault="000F1749">
      <w:pPr>
        <w:numPr>
          <w:ilvl w:val="0"/>
          <w:numId w:val="2"/>
        </w:numPr>
        <w:ind w:left="360"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Unikatowy lakier nadwozia Azura Blue z czarnymi błyszczącymi akcentami nadwozia oraz oryginalne przeszycia Motion Blue w kabinie podkreślają wyjątkowość edycji specjalnej</w:t>
      </w:r>
      <w:r>
        <w:rPr>
          <w:rFonts w:ascii="Arial" w:hAnsi="Arial" w:cs="Arial"/>
          <w:b/>
          <w:bCs/>
          <w:color w:val="000000"/>
          <w:sz w:val="32"/>
          <w:szCs w:val="32"/>
          <w:lang w:val="pl-PL"/>
        </w:rPr>
        <w:t xml:space="preserve">   </w:t>
      </w:r>
    </w:p>
    <w:p w14:paraId="787CA035" w14:textId="77777777" w:rsidR="00785B60" w:rsidRDefault="00785B60">
      <w:pPr>
        <w:pStyle w:val="BodyText2"/>
        <w:spacing w:line="276" w:lineRule="auto"/>
        <w:rPr>
          <w:rFonts w:ascii="Arial" w:hAnsi="Arial" w:cs="Arial"/>
          <w:b/>
          <w:bCs/>
          <w:color w:val="000000"/>
          <w:sz w:val="32"/>
          <w:szCs w:val="32"/>
          <w:lang w:val="pl-PL"/>
        </w:rPr>
      </w:pPr>
    </w:p>
    <w:p w14:paraId="601B1487" w14:textId="0178333B" w:rsidR="00785B60" w:rsidRDefault="00205F1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0F1749">
        <w:rPr>
          <w:rFonts w:ascii="Arial" w:hAnsi="Arial" w:cs="Arial"/>
          <w:b/>
          <w:sz w:val="22"/>
          <w:szCs w:val="22"/>
          <w:lang w:val="pl-PL"/>
        </w:rPr>
        <w:t>, 10 kwietnia 2024 r.</w:t>
      </w:r>
      <w:r w:rsidR="000F1749">
        <w:rPr>
          <w:rFonts w:ascii="Arial" w:hAnsi="Arial" w:cs="Arial"/>
          <w:sz w:val="22"/>
          <w:szCs w:val="22"/>
          <w:lang w:val="pl-PL"/>
        </w:rPr>
        <w:t xml:space="preserve"> – Ford zapre</w:t>
      </w:r>
      <w:r w:rsidR="000F1749">
        <w:rPr>
          <w:rFonts w:ascii="Arial" w:hAnsi="Arial" w:cs="Arial"/>
          <w:sz w:val="22"/>
          <w:szCs w:val="22"/>
          <w:lang w:val="pl-PL"/>
        </w:rPr>
        <w:t>zentował dziś gotowego do jazdy na drogach publicznych i torach wyścigowych Focusa ST Edition, najbardziej kompletną wersję tego modelu, opracowaną przez Ford Performance</w:t>
      </w:r>
      <w:r w:rsidR="000F1749" w:rsidRPr="00205F19">
        <w:rPr>
          <w:rFonts w:ascii="Arial" w:hAnsi="Arial" w:cs="Arial"/>
          <w:sz w:val="22"/>
          <w:szCs w:val="22"/>
          <w:lang w:val="pl-PL"/>
        </w:rPr>
        <w:t>.</w:t>
      </w:r>
      <w:r w:rsidR="000F1749" w:rsidRPr="00205F19">
        <w:rPr>
          <w:rFonts w:ascii="Arial" w:hAnsi="Arial" w:cs="Arial"/>
          <w:sz w:val="22"/>
          <w:szCs w:val="22"/>
          <w:vertAlign w:val="superscript"/>
          <w:lang w:val="pl-PL"/>
        </w:rPr>
        <w:t xml:space="preserve"> 1</w:t>
      </w:r>
    </w:p>
    <w:p w14:paraId="09EF61E1" w14:textId="77777777" w:rsidR="00785B60" w:rsidRDefault="00785B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3F8A9841" w14:textId="77777777" w:rsidR="00785B60" w:rsidRDefault="000F174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Focus ST Edition, zaprojektowany z myślą o nagradzaniu pasjonatów sportowej jazdy</w:t>
      </w:r>
      <w:r>
        <w:rPr>
          <w:rFonts w:ascii="Arial" w:hAnsi="Arial" w:cs="Arial"/>
          <w:sz w:val="22"/>
          <w:szCs w:val="22"/>
          <w:lang w:val="pl-PL"/>
        </w:rPr>
        <w:t xml:space="preserve"> reakcjami samochodu wyczynowego na torach, a jednocześnie zapewniający komfort samochodu rodzinnego o wysokim standardzie podczas codziennych dojazdów do szkoły lub pracy, łączy najwyższą funkcjonalność z osiągami.</w:t>
      </w:r>
    </w:p>
    <w:p w14:paraId="42FFD333" w14:textId="77777777" w:rsidR="00785B60" w:rsidRDefault="00785B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6B562058" w14:textId="2AC97BB7" w:rsidR="00785B60" w:rsidRDefault="00205F1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r w:rsidR="000F1749">
        <w:rPr>
          <w:rFonts w:ascii="Arial" w:hAnsi="Arial" w:cs="Arial"/>
          <w:sz w:val="22"/>
          <w:szCs w:val="22"/>
          <w:lang w:val="pl-PL"/>
        </w:rPr>
        <w:t>Focus ST Edition, którego można już zam</w:t>
      </w:r>
      <w:r w:rsidR="000F1749">
        <w:rPr>
          <w:rFonts w:ascii="Arial" w:hAnsi="Arial" w:cs="Arial"/>
          <w:sz w:val="22"/>
          <w:szCs w:val="22"/>
          <w:lang w:val="pl-PL"/>
        </w:rPr>
        <w:t>awiać na wybranych rynkach, został nagrodzony certyfikatem Sports Technologies za zaawansowane funkcje, w tym m.in:</w:t>
      </w:r>
    </w:p>
    <w:p w14:paraId="6223C17C" w14:textId="2D83002D" w:rsidR="00785B60" w:rsidRDefault="00205F19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</w:t>
      </w:r>
      <w:r w:rsidR="000F1749">
        <w:rPr>
          <w:rFonts w:ascii="Arial" w:hAnsi="Arial" w:cs="Arial"/>
          <w:sz w:val="22"/>
          <w:szCs w:val="22"/>
          <w:lang w:val="pl-PL"/>
        </w:rPr>
        <w:t>egulowane zawieszenie gwintowane Ford Performance, które pozwala fanom sportu na precyzyjne dostosowanie dynamiki podwozia i właściwości je</w:t>
      </w:r>
      <w:r w:rsidR="000F1749">
        <w:rPr>
          <w:rFonts w:ascii="Arial" w:hAnsi="Arial" w:cs="Arial"/>
          <w:sz w:val="22"/>
          <w:szCs w:val="22"/>
          <w:lang w:val="pl-PL"/>
        </w:rPr>
        <w:t>zdnych do swoich preferencji</w:t>
      </w:r>
    </w:p>
    <w:p w14:paraId="10C29315" w14:textId="4D64C268" w:rsidR="00785B60" w:rsidRDefault="00205F19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</w:t>
      </w:r>
      <w:r w:rsidR="000F1749">
        <w:rPr>
          <w:rFonts w:ascii="Arial" w:hAnsi="Arial" w:cs="Arial"/>
          <w:sz w:val="22"/>
          <w:szCs w:val="22"/>
          <w:lang w:val="pl-PL"/>
        </w:rPr>
        <w:t>elgi aluminiowe wykonane w procesie formowania ciśnieniowego, wykorzystywanego również do produkcji komponentów lotniczych</w:t>
      </w:r>
    </w:p>
    <w:p w14:paraId="139148B9" w14:textId="0DA6A7E4" w:rsidR="00785B60" w:rsidRDefault="00205F19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0F1749">
        <w:rPr>
          <w:rFonts w:ascii="Arial" w:hAnsi="Arial" w:cs="Arial"/>
          <w:sz w:val="22"/>
          <w:szCs w:val="22"/>
          <w:lang w:val="pl-PL"/>
        </w:rPr>
        <w:t>rzednie hamulce Brembo gwarantują mocne i równomierne hamowanie bez utraty skuteczności podczas kol</w:t>
      </w:r>
      <w:r w:rsidR="000F1749">
        <w:rPr>
          <w:rFonts w:ascii="Arial" w:hAnsi="Arial" w:cs="Arial"/>
          <w:sz w:val="22"/>
          <w:szCs w:val="22"/>
          <w:lang w:val="pl-PL"/>
        </w:rPr>
        <w:t>ejnych okrążeń</w:t>
      </w:r>
    </w:p>
    <w:p w14:paraId="479FAE9C" w14:textId="29B84801" w:rsidR="00785B60" w:rsidRDefault="000F1749">
      <w:pPr>
        <w:pStyle w:val="BodyText2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2,3-litrowy silnik EcoBoost o mocy 280 KM </w:t>
      </w:r>
      <w:r w:rsidRPr="00205F19">
        <w:rPr>
          <w:rFonts w:ascii="Arial" w:hAnsi="Arial" w:cs="Arial"/>
          <w:sz w:val="22"/>
          <w:szCs w:val="22"/>
          <w:vertAlign w:val="superscript"/>
          <w:lang w:val="pl-PL"/>
        </w:rPr>
        <w:t>2, 3</w:t>
      </w:r>
      <w:r>
        <w:rPr>
          <w:rFonts w:ascii="Arial" w:hAnsi="Arial" w:cs="Arial"/>
          <w:sz w:val="22"/>
          <w:szCs w:val="22"/>
          <w:lang w:val="pl-PL"/>
        </w:rPr>
        <w:t xml:space="preserve"> zapewnia przyspieszenie 0-100 km/h</w:t>
      </w:r>
      <w:r>
        <w:rPr>
          <w:rFonts w:ascii="Arial" w:hAnsi="Arial" w:cs="Arial"/>
          <w:sz w:val="22"/>
          <w:szCs w:val="22"/>
          <w:lang w:val="pl-PL"/>
        </w:rPr>
        <w:t xml:space="preserve"> w 5,7 sekundy, a maksymalny moment obrotowy 420 Nm </w:t>
      </w:r>
      <w:r w:rsidRPr="00205F19">
        <w:rPr>
          <w:rFonts w:ascii="Arial" w:hAnsi="Arial" w:cs="Arial"/>
          <w:sz w:val="22"/>
          <w:szCs w:val="22"/>
          <w:vertAlign w:val="superscript"/>
          <w:lang w:val="pl-PL"/>
        </w:rPr>
        <w:t>2, 3</w:t>
      </w:r>
      <w:r w:rsidRPr="00205F19">
        <w:rPr>
          <w:rFonts w:ascii="Arial" w:hAnsi="Arial" w:cs="Arial"/>
          <w:sz w:val="22"/>
          <w:szCs w:val="22"/>
          <w:vertAlign w:val="superscript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pozwala na dynamiczne przyspieszenie bez konieczności redukcji biegu</w:t>
      </w:r>
    </w:p>
    <w:p w14:paraId="53FA6280" w14:textId="77777777" w:rsidR="00785B60" w:rsidRDefault="00785B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47A19B72" w14:textId="77777777" w:rsidR="00785B60" w:rsidRDefault="000F174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Focus ST Edition spraw</w:t>
      </w:r>
      <w:r>
        <w:rPr>
          <w:rFonts w:ascii="Arial" w:hAnsi="Arial" w:cs="Arial"/>
          <w:sz w:val="22"/>
          <w:szCs w:val="22"/>
          <w:lang w:val="pl-PL"/>
        </w:rPr>
        <w:t>dza się równie dobrze na drogach publicznych prowadzących na tor, jak i na samym torze. Najczęściej wybierane pakiety wyposażenia opcjonalnego z gamy Focusa ST są teraz dostępne w standardzie, co pozwala na komfortowe wyruszenie w trasę w mroźne zimowe por</w:t>
      </w:r>
      <w:r>
        <w:rPr>
          <w:rFonts w:ascii="Arial" w:hAnsi="Arial" w:cs="Arial"/>
          <w:sz w:val="22"/>
          <w:szCs w:val="22"/>
          <w:lang w:val="pl-PL"/>
        </w:rPr>
        <w:t xml:space="preserve">anki, relaksującą jazdę po autostradzie i słuchanie muzyki płynącej z systemu nagłośnienia najwyższej klasy. </w:t>
      </w:r>
    </w:p>
    <w:p w14:paraId="1DD5412D" w14:textId="77777777" w:rsidR="00785B60" w:rsidRDefault="00785B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932303E" w14:textId="77777777" w:rsidR="00785B60" w:rsidRDefault="000F174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Unikatowy lakier nadwozia Azura Blue z czarnymi błyszczącymi akcentami nadwozia oraz oryginalne przeszycia w wersji wnętrza Motion Blue podkreśla</w:t>
      </w:r>
      <w:r>
        <w:rPr>
          <w:rFonts w:ascii="Arial" w:hAnsi="Arial" w:cs="Arial"/>
          <w:sz w:val="22"/>
          <w:szCs w:val="22"/>
          <w:lang w:val="pl-PL"/>
        </w:rPr>
        <w:t>ją ekskluzywność modelu.</w:t>
      </w:r>
    </w:p>
    <w:p w14:paraId="35718CA5" w14:textId="77777777" w:rsidR="00785B60" w:rsidRDefault="00785B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602D72C7" w14:textId="77777777" w:rsidR="00785B60" w:rsidRDefault="000F174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„Nowy Focus ST Edition oferuje w funkcjonalnym, użytecznym w codziennej eksploatacji pakiecie to, co najlepsze w Ford Performance” – powiedział Stefan Muenzinger, menedżer Ford Performance w Europie. „Oznaczenie Sport Technologies</w:t>
      </w:r>
      <w:r>
        <w:rPr>
          <w:rFonts w:ascii="Arial" w:hAnsi="Arial" w:cs="Arial"/>
          <w:sz w:val="22"/>
          <w:szCs w:val="22"/>
          <w:lang w:val="pl-PL"/>
        </w:rPr>
        <w:t xml:space="preserve"> gwarantuje, że kierowcy nie muszą rezygnować z wszechstronności na co dzień, chcąc cieszyć się dreszczykiem emocji podczas jazdy na torze".</w:t>
      </w:r>
    </w:p>
    <w:p w14:paraId="4A991828" w14:textId="77777777" w:rsidR="00785B60" w:rsidRDefault="00785B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6E408487" w14:textId="77777777" w:rsidR="00785B60" w:rsidRDefault="000F1749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Kontrola i pewność za kierownicą</w:t>
      </w:r>
    </w:p>
    <w:p w14:paraId="3C29329E" w14:textId="77777777" w:rsidR="00785B60" w:rsidRDefault="00785B60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1387AFBE" w14:textId="77777777" w:rsidR="00785B60" w:rsidRDefault="000F1749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Regulowane zawieszenie Focusa ST Edition jest dostarczane z konfiguracją opracowaną przez Ford Performance, testowaną intensywnie w całej Europie, w tym na Północnej Pętli  niemiecki</w:t>
      </w:r>
      <w:r>
        <w:rPr>
          <w:rFonts w:ascii="Arial" w:hAnsi="Arial" w:cs="Arial"/>
          <w:bCs/>
          <w:sz w:val="22"/>
          <w:szCs w:val="22"/>
          <w:lang w:val="pl-PL"/>
        </w:rPr>
        <w:t>ego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tor</w:t>
      </w:r>
      <w:r>
        <w:rPr>
          <w:rFonts w:ascii="Arial" w:hAnsi="Arial" w:cs="Arial"/>
          <w:bCs/>
          <w:sz w:val="22"/>
          <w:szCs w:val="22"/>
          <w:lang w:val="pl-PL"/>
        </w:rPr>
        <w:t>u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Nürburgring.</w:t>
      </w:r>
    </w:p>
    <w:p w14:paraId="576DC56B" w14:textId="77777777" w:rsidR="00785B60" w:rsidRDefault="00785B60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293B78F5" w14:textId="77777777" w:rsidR="00785B60" w:rsidRDefault="000F174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Dwudrożnie regulowany system </w:t>
      </w:r>
      <w:r>
        <w:rPr>
          <w:rFonts w:ascii="Arial" w:hAnsi="Arial" w:cs="Arial"/>
          <w:sz w:val="22"/>
          <w:szCs w:val="22"/>
          <w:lang w:val="pl-PL"/>
        </w:rPr>
        <w:t>gwintowanego zawieszenia, wyprodukowany przez ekspertów sportów motorowych, firmę KW Automotive, wykorzystuje dwururowe amortyzatory ze stali nierdzewnej oraz malowane proszkowo sprężyny. Prześwit został obniżony o 10 mm z przodu i z tyłu w porównaniu ze s</w:t>
      </w:r>
      <w:r>
        <w:rPr>
          <w:rFonts w:ascii="Arial" w:hAnsi="Arial" w:cs="Arial"/>
          <w:sz w:val="22"/>
          <w:szCs w:val="22"/>
          <w:lang w:val="pl-PL"/>
        </w:rPr>
        <w:t>tandardowym Focusem ST, co poprawia stabilność i kontrolę, a klient ma możliwość regulacji wysokości o kolejne 20 mm. Sztywność sprężyn została zwiększona o ponad 50 procent w porównaniu ze standardowym Focusem ST.</w:t>
      </w:r>
    </w:p>
    <w:p w14:paraId="699C15BC" w14:textId="77777777" w:rsidR="00785B60" w:rsidRDefault="00785B60">
      <w:pPr>
        <w:rPr>
          <w:rFonts w:ascii="Arial" w:hAnsi="Arial" w:cs="Arial"/>
          <w:sz w:val="22"/>
          <w:szCs w:val="22"/>
          <w:lang w:val="pl-PL"/>
        </w:rPr>
      </w:pPr>
    </w:p>
    <w:p w14:paraId="23FAB91F" w14:textId="77777777" w:rsidR="00785B60" w:rsidRDefault="000F174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Dwanaście ustawień tłumienia dobicia – o</w:t>
      </w:r>
      <w:r>
        <w:rPr>
          <w:rFonts w:ascii="Arial" w:hAnsi="Arial" w:cs="Arial"/>
          <w:sz w:val="22"/>
          <w:szCs w:val="22"/>
          <w:lang w:val="pl-PL"/>
        </w:rPr>
        <w:t>poru ruchu amortyzatora w górę, gdy koło styka się z wybojem na drodze, oraz 16 ustawień odbicia – prędkość, z jaką amortyzator powraca do neutralnego położenia po ruchu w górę, dają kierowcy Focusa ST Edition większą kontrolę nad reakcjami samochodu na za</w:t>
      </w:r>
      <w:r>
        <w:rPr>
          <w:rFonts w:ascii="Arial" w:hAnsi="Arial" w:cs="Arial"/>
          <w:sz w:val="22"/>
          <w:szCs w:val="22"/>
          <w:lang w:val="pl-PL"/>
        </w:rPr>
        <w:t xml:space="preserve">krętach. </w:t>
      </w:r>
    </w:p>
    <w:p w14:paraId="649C9C59" w14:textId="77777777" w:rsidR="00785B60" w:rsidRDefault="00785B60">
      <w:pPr>
        <w:rPr>
          <w:rFonts w:ascii="Arial" w:hAnsi="Arial" w:cs="Arial"/>
          <w:sz w:val="22"/>
          <w:szCs w:val="22"/>
          <w:lang w:val="pl-PL"/>
        </w:rPr>
      </w:pPr>
    </w:p>
    <w:p w14:paraId="6726E41D" w14:textId="77777777" w:rsidR="00785B60" w:rsidRDefault="000F174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Focus ST Edition jest dostarczany z dokumentacją techniczną, zawierającą zalecane ustawienia zawieszenia dla różnych warunków jazdy – w tym ustawienia opracowane dla toru Nürburgring – co pomoże fanom jazdy wyczynowej w dostrojeniu podwozia i uz</w:t>
      </w:r>
      <w:r>
        <w:rPr>
          <w:rFonts w:ascii="Arial" w:hAnsi="Arial" w:cs="Arial"/>
          <w:sz w:val="22"/>
          <w:szCs w:val="22"/>
          <w:lang w:val="pl-PL"/>
        </w:rPr>
        <w:t>yskaniu satysfakcjonujących wrażeń.</w:t>
      </w:r>
    </w:p>
    <w:p w14:paraId="5A0A07F2" w14:textId="77777777" w:rsidR="00785B60" w:rsidRDefault="00785B60">
      <w:pPr>
        <w:rPr>
          <w:rFonts w:ascii="Arial" w:hAnsi="Arial" w:cs="Arial"/>
          <w:sz w:val="22"/>
          <w:szCs w:val="22"/>
          <w:lang w:val="pl-PL"/>
        </w:rPr>
      </w:pPr>
    </w:p>
    <w:p w14:paraId="4DDFBFD5" w14:textId="77777777" w:rsidR="00785B60" w:rsidRDefault="000F174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Lekkie 19-calowe felgi aluminiowe zmniejszają masę nieresorowaną o 10 procent na każdym z narożników pojazdu. Koła są odlewane w procesie płynnego formowania, które zagęszcza stop aluminium, w konsekwencji zwiększając w</w:t>
      </w:r>
      <w:r>
        <w:rPr>
          <w:rFonts w:ascii="Arial" w:hAnsi="Arial" w:cs="Arial"/>
          <w:sz w:val="22"/>
          <w:szCs w:val="22"/>
          <w:lang w:val="pl-PL"/>
        </w:rPr>
        <w:t>ytrzymałości na rozciąganie i odporność na wstrząsy przy mniejszym zużyciu materiału. Lżejsza od standardowych nieresorowana masa felg poprawia pionową dynamikę ich pracy oraz szybkość zmiany kierunku, a w efekcie kontakt opon Pirelli P Zero Corsa z nawier</w:t>
      </w:r>
      <w:r>
        <w:rPr>
          <w:rFonts w:ascii="Arial" w:hAnsi="Arial" w:cs="Arial"/>
          <w:sz w:val="22"/>
          <w:szCs w:val="22"/>
          <w:lang w:val="pl-PL"/>
        </w:rPr>
        <w:t>zchnią i przyczepność podczas przyspieszenia, hamowania i pokonywania zakrętów przy podniesionych osiągach.</w:t>
      </w:r>
    </w:p>
    <w:p w14:paraId="1BCF1DF5" w14:textId="77777777" w:rsidR="00785B60" w:rsidRDefault="00785B60">
      <w:pPr>
        <w:rPr>
          <w:rFonts w:ascii="Arial" w:hAnsi="Arial" w:cs="Arial"/>
          <w:sz w:val="22"/>
          <w:szCs w:val="22"/>
          <w:lang w:val="pl-PL"/>
        </w:rPr>
      </w:pPr>
    </w:p>
    <w:p w14:paraId="73BCEFBB" w14:textId="1674DB0A" w:rsidR="00785B60" w:rsidRDefault="000F174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Focus ST Edition </w:t>
      </w:r>
      <w:r w:rsidRPr="00205F19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 xml:space="preserve"> jest dostępny wyłącznie jako pięciodrzwiowy hatchback z sześciobiegową manualną skrzynią biegów,napędzany 2,3-litrowym silnik Ec</w:t>
      </w:r>
      <w:r>
        <w:rPr>
          <w:rFonts w:ascii="Arial" w:hAnsi="Arial" w:cs="Arial"/>
          <w:sz w:val="22"/>
          <w:szCs w:val="22"/>
          <w:lang w:val="pl-PL"/>
        </w:rPr>
        <w:t xml:space="preserve">oBoost z turbosprężarką typu twin-scroll o niskiej bezwładności, który zapewnia moc 280 KM </w:t>
      </w:r>
      <w:r w:rsidRPr="00205F19">
        <w:rPr>
          <w:rFonts w:ascii="Arial" w:hAnsi="Arial" w:cs="Arial"/>
          <w:sz w:val="22"/>
          <w:szCs w:val="22"/>
          <w:vertAlign w:val="superscript"/>
          <w:lang w:val="pl-PL"/>
        </w:rPr>
        <w:t>2, 3</w:t>
      </w:r>
      <w:r>
        <w:rPr>
          <w:rFonts w:ascii="Arial" w:hAnsi="Arial" w:cs="Arial"/>
          <w:sz w:val="22"/>
          <w:szCs w:val="22"/>
          <w:lang w:val="pl-PL"/>
        </w:rPr>
        <w:t xml:space="preserve"> przy 5500 obr/min i maksymalny moment obrotowy 420 Nm </w:t>
      </w:r>
      <w:r w:rsidRPr="00205F19">
        <w:rPr>
          <w:rFonts w:ascii="Arial" w:hAnsi="Arial" w:cs="Arial"/>
          <w:sz w:val="22"/>
          <w:szCs w:val="22"/>
          <w:vertAlign w:val="superscript"/>
          <w:lang w:val="pl-PL"/>
        </w:rPr>
        <w:t xml:space="preserve">2, 3 </w:t>
      </w:r>
      <w:r>
        <w:rPr>
          <w:rFonts w:ascii="Arial" w:hAnsi="Arial" w:cs="Arial"/>
          <w:sz w:val="22"/>
          <w:szCs w:val="22"/>
          <w:lang w:val="pl-PL"/>
        </w:rPr>
        <w:t>od 3000 obr/min, co przekłada się na przyspieszenie 0-100 km/h</w:t>
      </w:r>
      <w:r>
        <w:rPr>
          <w:rFonts w:ascii="Arial" w:hAnsi="Arial" w:cs="Arial"/>
          <w:sz w:val="22"/>
          <w:szCs w:val="22"/>
          <w:lang w:val="pl-PL"/>
        </w:rPr>
        <w:t xml:space="preserve"> w 5,7 sekundy i prędkość ma</w:t>
      </w:r>
      <w:r>
        <w:rPr>
          <w:rFonts w:ascii="Arial" w:hAnsi="Arial" w:cs="Arial"/>
          <w:sz w:val="22"/>
          <w:szCs w:val="22"/>
          <w:lang w:val="pl-PL"/>
        </w:rPr>
        <w:t>ksymalną 2</w:t>
      </w:r>
      <w:r w:rsidR="00E63983">
        <w:rPr>
          <w:rFonts w:ascii="Arial" w:hAnsi="Arial" w:cs="Arial"/>
          <w:sz w:val="22"/>
          <w:szCs w:val="22"/>
          <w:lang w:val="pl-PL"/>
        </w:rPr>
        <w:t>50</w:t>
      </w:r>
      <w:r>
        <w:rPr>
          <w:rFonts w:ascii="Arial" w:hAnsi="Arial" w:cs="Arial"/>
          <w:sz w:val="22"/>
          <w:szCs w:val="22"/>
          <w:lang w:val="pl-PL"/>
        </w:rPr>
        <w:t xml:space="preserve"> km/h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245CDD3" w14:textId="77777777" w:rsidR="00785B60" w:rsidRDefault="00785B60">
      <w:pPr>
        <w:spacing w:after="120"/>
        <w:rPr>
          <w:rFonts w:ascii="Arial" w:hAnsi="Arial" w:cs="Arial"/>
          <w:sz w:val="22"/>
          <w:szCs w:val="22"/>
          <w:lang w:val="pl-PL"/>
        </w:rPr>
      </w:pPr>
    </w:p>
    <w:p w14:paraId="3AF5D8EA" w14:textId="77777777" w:rsidR="00785B60" w:rsidRDefault="000F1749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Gotów n</w:t>
      </w:r>
      <w:r>
        <w:rPr>
          <w:rFonts w:ascii="Arial" w:hAnsi="Arial" w:cs="Arial"/>
          <w:b/>
          <w:bCs/>
          <w:sz w:val="22"/>
          <w:szCs w:val="22"/>
          <w:lang w:val="pl-PL"/>
        </w:rPr>
        <w:t>a drogi publiczne</w:t>
      </w:r>
    </w:p>
    <w:p w14:paraId="048F6ADE" w14:textId="77777777" w:rsidR="00785B60" w:rsidRDefault="00785B60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D0382AB" w14:textId="77777777" w:rsidR="00785B60" w:rsidRDefault="000F174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Zamiłowanie do sportowych samochodów nie powinno oznaczać odmawiania sobie komfortu na co dzień. Focus ST Edition otrzymuje w wyposażeniu standardowym pakiety opcjonalne, na które najczęściej decydują</w:t>
      </w:r>
      <w:r>
        <w:rPr>
          <w:rFonts w:ascii="Arial" w:hAnsi="Arial" w:cs="Arial"/>
          <w:sz w:val="22"/>
          <w:szCs w:val="22"/>
          <w:lang w:val="pl-PL"/>
        </w:rPr>
        <w:t xml:space="preserve"> się nabywcy Focusa ST, m.in. zaawansowane systemy wspomagające kierowcę. </w:t>
      </w:r>
    </w:p>
    <w:p w14:paraId="5AB8A08D" w14:textId="77777777" w:rsidR="00785B60" w:rsidRDefault="00785B60">
      <w:pPr>
        <w:rPr>
          <w:rFonts w:ascii="Arial" w:hAnsi="Arial" w:cs="Arial"/>
          <w:sz w:val="22"/>
          <w:szCs w:val="22"/>
          <w:lang w:val="pl-PL"/>
        </w:rPr>
      </w:pPr>
    </w:p>
    <w:p w14:paraId="77F43788" w14:textId="77777777" w:rsidR="00785B60" w:rsidRDefault="000F174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Zestaw systemów wspomagających kierowcę obejmuje adaptacyjny tempomat (ACC)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4</w:t>
      </w:r>
      <w:r>
        <w:rPr>
          <w:rFonts w:ascii="Arial" w:hAnsi="Arial" w:cs="Arial"/>
          <w:sz w:val="22"/>
          <w:szCs w:val="22"/>
          <w:lang w:val="pl-PL"/>
        </w:rPr>
        <w:t xml:space="preserve"> z funkcją rozpoznawania znaków drogowych i utrzymywania na pasie ruchu, który sprawia, że jazda po aut</w:t>
      </w:r>
      <w:r>
        <w:rPr>
          <w:rFonts w:ascii="Arial" w:hAnsi="Arial" w:cs="Arial"/>
          <w:sz w:val="22"/>
          <w:szCs w:val="22"/>
          <w:lang w:val="pl-PL"/>
        </w:rPr>
        <w:t>ostradzie staje się mniej nużąca, a także system informacji o obiektach znajdujących się martwym polu lusterek (BLIS) z funkcją ostrzegania o ruchu poprzecznym,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3</w:t>
      </w:r>
      <w:r>
        <w:rPr>
          <w:rFonts w:ascii="Arial" w:hAnsi="Arial" w:cs="Arial"/>
          <w:sz w:val="22"/>
          <w:szCs w:val="22"/>
          <w:lang w:val="pl-PL"/>
        </w:rPr>
        <w:t xml:space="preserve"> który ułatwia manewrowanie.</w:t>
      </w:r>
    </w:p>
    <w:p w14:paraId="6F035557" w14:textId="77777777" w:rsidR="00785B60" w:rsidRDefault="00785B60">
      <w:pPr>
        <w:rPr>
          <w:rFonts w:ascii="Arial" w:hAnsi="Arial" w:cs="Arial"/>
          <w:sz w:val="22"/>
          <w:szCs w:val="22"/>
          <w:lang w:val="pl-PL"/>
        </w:rPr>
      </w:pPr>
    </w:p>
    <w:p w14:paraId="6DEDCB09" w14:textId="32259B73" w:rsidR="00785B60" w:rsidRDefault="000F174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Focus ST Edition jest również wyposażony w system nagłośnienia B</w:t>
      </w:r>
      <w:r>
        <w:rPr>
          <w:rFonts w:ascii="Arial" w:hAnsi="Arial" w:cs="Arial"/>
          <w:sz w:val="22"/>
          <w:szCs w:val="22"/>
          <w:lang w:val="pl-PL"/>
        </w:rPr>
        <w:t>&amp;O Premium Sound o mocy 675 W</w:t>
      </w:r>
      <w:r>
        <w:rPr>
          <w:rFonts w:ascii="Arial" w:hAnsi="Arial" w:cs="Arial"/>
          <w:sz w:val="22"/>
          <w:szCs w:val="22"/>
          <w:lang w:val="pl-PL"/>
        </w:rPr>
        <w:t> z dziesięcioma głośnikami i subwooferem. Dostępny w standardzie pakiet zimowy obejmuje podgrzewaną kierownicę i podgrzewaną przednią szybę Quickclear, pozwalającą na szybkie odszranianie w czasie mrozów.</w:t>
      </w:r>
    </w:p>
    <w:p w14:paraId="56930FC7" w14:textId="77777777" w:rsidR="00785B60" w:rsidRDefault="00785B60">
      <w:pPr>
        <w:rPr>
          <w:rFonts w:ascii="Arial" w:hAnsi="Arial" w:cs="Arial"/>
          <w:sz w:val="22"/>
          <w:szCs w:val="22"/>
          <w:lang w:val="pl-PL"/>
        </w:rPr>
      </w:pPr>
    </w:p>
    <w:p w14:paraId="62D13AB4" w14:textId="4FD46EDA" w:rsidR="00785B60" w:rsidRDefault="000F174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Wersja Focus ST Editi</w:t>
      </w:r>
      <w:r>
        <w:rPr>
          <w:rFonts w:ascii="Arial" w:hAnsi="Arial" w:cs="Arial"/>
          <w:sz w:val="22"/>
          <w:szCs w:val="22"/>
          <w:lang w:val="pl-PL"/>
        </w:rPr>
        <w:t>on wyróżnia się niebieskim lakierem Azura Blue –</w:t>
      </w:r>
      <w:r>
        <w:rPr>
          <w:rFonts w:ascii="Arial" w:hAnsi="Arial" w:cs="Arial"/>
          <w:sz w:val="22"/>
          <w:szCs w:val="22"/>
          <w:lang w:val="pl-PL"/>
        </w:rPr>
        <w:t xml:space="preserve"> z </w:t>
      </w:r>
      <w:r>
        <w:rPr>
          <w:rFonts w:ascii="Arial" w:hAnsi="Arial" w:cs="Arial"/>
          <w:sz w:val="22"/>
          <w:szCs w:val="22"/>
          <w:lang w:val="pl-PL"/>
        </w:rPr>
        <w:t xml:space="preserve">gamy Focusa ST, zarezerwowanym wyłącznie dla tego modelu oraz czarnymi felgami aluminiowymi, czarnym błyszczącym dachem, tylnym spojlerem i dyfuzorem, a także czarnymi obudowami lusterek bocznych i czarną </w:t>
      </w:r>
      <w:r>
        <w:rPr>
          <w:rFonts w:ascii="Arial" w:hAnsi="Arial" w:cs="Arial"/>
          <w:sz w:val="22"/>
          <w:szCs w:val="22"/>
          <w:lang w:val="pl-PL"/>
        </w:rPr>
        <w:t>ramką emblematu ST. Wewnątrz znajdziemy niebieskie przeszycia Motion Blue, wzbogacające tapicerkę foteli Ford Performance, kierownicę, mieszek dźwigni zmiany biegów, miękkie nakładki na wysokości kolan przy konsoli środkowej i dywaniki podłogowe.</w:t>
      </w:r>
    </w:p>
    <w:p w14:paraId="0FC5FD6F" w14:textId="77777777" w:rsidR="00785B60" w:rsidRDefault="00785B60">
      <w:pPr>
        <w:rPr>
          <w:rFonts w:ascii="Arial" w:hAnsi="Arial" w:cs="Arial"/>
          <w:sz w:val="22"/>
          <w:szCs w:val="22"/>
          <w:lang w:val="pl-PL"/>
        </w:rPr>
      </w:pPr>
    </w:p>
    <w:p w14:paraId="39985055" w14:textId="77777777" w:rsidR="00785B60" w:rsidRDefault="000F1749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Focus ST</w:t>
      </w:r>
      <w:r>
        <w:rPr>
          <w:rFonts w:ascii="Arial" w:hAnsi="Arial" w:cs="Arial"/>
          <w:sz w:val="22"/>
          <w:szCs w:val="22"/>
          <w:lang w:val="pl-PL"/>
        </w:rPr>
        <w:t xml:space="preserve"> Edition dołącza do obecnej linii Focus ST, która oferuje nadwozia pięciodrzwiowe i kombi z możliwością wyboru siedmiobiegowej automatycznej skrzyni biegów.</w:t>
      </w:r>
    </w:p>
    <w:p w14:paraId="234EB1E2" w14:textId="77777777" w:rsidR="00785B60" w:rsidRDefault="00785B60">
      <w:pPr>
        <w:pStyle w:val="BodyText2"/>
        <w:spacing w:line="276" w:lineRule="auto"/>
        <w:jc w:val="center"/>
        <w:rPr>
          <w:rFonts w:ascii="Arial" w:hAnsi="Arial" w:cs="Arial"/>
          <w:color w:val="000000"/>
          <w:lang w:val="pl-PL"/>
        </w:rPr>
      </w:pPr>
    </w:p>
    <w:p w14:paraId="1D0AFF40" w14:textId="77777777" w:rsidR="00785B60" w:rsidRDefault="000F1749">
      <w:pPr>
        <w:pStyle w:val="BodyText2"/>
        <w:spacing w:line="276" w:lineRule="auto"/>
        <w:jc w:val="center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# # #</w:t>
      </w:r>
    </w:p>
    <w:p w14:paraId="49EEED0D" w14:textId="77777777" w:rsidR="00785B60" w:rsidRDefault="00785B60" w:rsidP="005F6D37">
      <w:pPr>
        <w:pStyle w:val="BodyText2"/>
        <w:spacing w:line="276" w:lineRule="auto"/>
        <w:rPr>
          <w:rFonts w:ascii="Arial" w:hAnsi="Arial" w:cs="Arial"/>
          <w:color w:val="000000"/>
          <w:lang w:val="pl-PL"/>
        </w:rPr>
      </w:pPr>
    </w:p>
    <w:p w14:paraId="4FF6BFF7" w14:textId="77777777" w:rsidR="000F7FDF" w:rsidRPr="00F2423D" w:rsidRDefault="000F7FDF" w:rsidP="000F7FDF">
      <w:pPr>
        <w:pStyle w:val="ListParagraph"/>
        <w:ind w:left="0"/>
        <w:rPr>
          <w:rFonts w:ascii="Arial" w:hAnsi="Arial" w:cs="Arial"/>
          <w:sz w:val="18"/>
          <w:szCs w:val="22"/>
          <w:lang w:val="pl-PL"/>
        </w:rPr>
      </w:pPr>
      <w:r w:rsidRPr="00F2423D">
        <w:rPr>
          <w:rFonts w:ascii="Arial" w:hAnsi="Arial" w:cs="Arial"/>
          <w:sz w:val="18"/>
          <w:szCs w:val="22"/>
          <w:vertAlign w:val="superscript"/>
          <w:lang w:val="pl-PL"/>
        </w:rPr>
        <w:t xml:space="preserve">1 </w:t>
      </w:r>
      <w:r w:rsidRPr="00F2423D">
        <w:rPr>
          <w:rFonts w:ascii="Arial" w:hAnsi="Arial" w:cs="Arial"/>
          <w:sz w:val="18"/>
          <w:szCs w:val="22"/>
          <w:lang w:val="pl-PL"/>
        </w:rPr>
        <w:t>Ford Focus ST Edition EcoBoost uzyskuje homologowaną emisje CO</w:t>
      </w:r>
      <w:r w:rsidRPr="00F2423D">
        <w:rPr>
          <w:rFonts w:ascii="Arial" w:hAnsi="Arial" w:cs="Arial"/>
          <w:sz w:val="18"/>
          <w:szCs w:val="22"/>
          <w:vertAlign w:val="subscript"/>
          <w:lang w:val="pl-PL"/>
        </w:rPr>
        <w:t>2</w:t>
      </w:r>
      <w:r w:rsidRPr="00F2423D">
        <w:rPr>
          <w:rFonts w:ascii="Arial" w:hAnsi="Arial" w:cs="Arial"/>
          <w:sz w:val="18"/>
          <w:szCs w:val="22"/>
          <w:lang w:val="pl-PL"/>
        </w:rPr>
        <w:t xml:space="preserve"> 185-189 g/km WLTP i homologowane zużycie paliwa 8,1-8,3 l/100 km wg procedur WLTP.</w:t>
      </w:r>
    </w:p>
    <w:p w14:paraId="482F4C09" w14:textId="77777777" w:rsidR="000F7FDF" w:rsidRPr="00F2423D" w:rsidRDefault="000F7FDF" w:rsidP="000F7FDF">
      <w:pPr>
        <w:pStyle w:val="ListParagraph"/>
        <w:ind w:left="0"/>
        <w:rPr>
          <w:rFonts w:ascii="Arial" w:hAnsi="Arial" w:cs="Arial"/>
          <w:sz w:val="18"/>
          <w:szCs w:val="22"/>
          <w:lang w:val="pl-PL"/>
        </w:rPr>
      </w:pPr>
    </w:p>
    <w:p w14:paraId="5984BEEC" w14:textId="77777777" w:rsidR="000F7FDF" w:rsidRPr="00F2423D" w:rsidRDefault="000F7FDF" w:rsidP="000F7FDF">
      <w:pPr>
        <w:pStyle w:val="ListParagraph"/>
        <w:ind w:left="0"/>
        <w:rPr>
          <w:rFonts w:ascii="Arial" w:hAnsi="Arial" w:cs="Arial"/>
          <w:sz w:val="18"/>
          <w:szCs w:val="22"/>
          <w:lang w:val="pl-PL"/>
        </w:rPr>
      </w:pPr>
      <w:r w:rsidRPr="00F2423D">
        <w:rPr>
          <w:rFonts w:ascii="Arial" w:hAnsi="Arial" w:cs="Arial"/>
          <w:sz w:val="18"/>
          <w:szCs w:val="22"/>
          <w:lang w:val="pl-PL"/>
        </w:rPr>
        <w:t>Ford Focus ST EcoBoost uzyskuje homologowaną emisję CO</w:t>
      </w:r>
      <w:r w:rsidRPr="00F2423D">
        <w:rPr>
          <w:rFonts w:ascii="Arial" w:hAnsi="Arial" w:cs="Arial"/>
          <w:sz w:val="18"/>
          <w:szCs w:val="22"/>
          <w:vertAlign w:val="subscript"/>
          <w:lang w:val="pl-PL"/>
        </w:rPr>
        <w:t>2</w:t>
      </w:r>
      <w:r w:rsidRPr="00F2423D">
        <w:rPr>
          <w:rFonts w:ascii="Arial" w:hAnsi="Arial" w:cs="Arial"/>
          <w:sz w:val="18"/>
          <w:szCs w:val="22"/>
          <w:lang w:val="pl-PL"/>
        </w:rPr>
        <w:t xml:space="preserve"> 182-189 g/km wg WLTP i homologowane zużycie paliwa 7,9-8,3 l/100 km wg WLTP.</w:t>
      </w:r>
    </w:p>
    <w:p w14:paraId="549D52C7" w14:textId="77777777" w:rsidR="000F7FDF" w:rsidRPr="00F2423D" w:rsidRDefault="000F7FDF" w:rsidP="000F7FDF">
      <w:pPr>
        <w:pStyle w:val="ListParagraph"/>
        <w:ind w:left="0"/>
        <w:rPr>
          <w:rFonts w:ascii="Arial" w:hAnsi="Arial" w:cs="Arial"/>
          <w:sz w:val="18"/>
          <w:szCs w:val="22"/>
          <w:lang w:val="pl-PL"/>
        </w:rPr>
      </w:pPr>
    </w:p>
    <w:p w14:paraId="327D7D7A" w14:textId="77777777" w:rsidR="000F7FDF" w:rsidRPr="00F2423D" w:rsidRDefault="000F7FDF" w:rsidP="000F7FDF">
      <w:pPr>
        <w:pStyle w:val="ListParagraph"/>
        <w:ind w:left="0"/>
        <w:rPr>
          <w:rFonts w:ascii="Arial" w:hAnsi="Arial" w:cs="Arial"/>
          <w:sz w:val="18"/>
          <w:szCs w:val="22"/>
          <w:lang w:val="pl-PL"/>
        </w:rPr>
      </w:pPr>
      <w:r w:rsidRPr="00F2423D">
        <w:rPr>
          <w:rFonts w:ascii="Arial" w:hAnsi="Arial" w:cs="Arial"/>
          <w:sz w:val="18"/>
          <w:szCs w:val="22"/>
          <w:lang w:val="pl-PL"/>
        </w:rPr>
        <w:t>Deklarowane zużycie paliwa/zużycie energii w cyklu WLTP, emisja CO</w:t>
      </w:r>
      <w:r w:rsidRPr="00F2423D">
        <w:rPr>
          <w:rFonts w:ascii="Arial" w:hAnsi="Arial" w:cs="Arial"/>
          <w:sz w:val="18"/>
          <w:szCs w:val="22"/>
          <w:vertAlign w:val="subscript"/>
          <w:lang w:val="pl-PL"/>
        </w:rPr>
        <w:t>2</w:t>
      </w:r>
      <w:r w:rsidRPr="00F2423D">
        <w:rPr>
          <w:rFonts w:ascii="Arial" w:hAnsi="Arial" w:cs="Arial"/>
          <w:sz w:val="18"/>
          <w:szCs w:val="22"/>
          <w:lang w:val="pl-PL"/>
        </w:rPr>
        <w:t xml:space="preserve"> i zasięg napędu elektrycznego mierzone są zgodnie z wymaganiami i specyfikacjami technicznymi regulaminów europejskich (WE) 715/2007 i (WE) 2017/1151 w aktualnym brzmieniu. Przyjęta obecnie procedura testowa pozwala na porównanie wyników uzyskanych przez różne typy pojazdów oraz różnych producentów.</w:t>
      </w:r>
    </w:p>
    <w:p w14:paraId="13437B5A" w14:textId="77777777" w:rsidR="000F7FDF" w:rsidRPr="00F2423D" w:rsidRDefault="000F7FDF" w:rsidP="000F7FDF">
      <w:pPr>
        <w:pStyle w:val="ListParagraph"/>
        <w:ind w:left="0"/>
        <w:rPr>
          <w:rFonts w:ascii="Arial" w:hAnsi="Arial" w:cs="Arial"/>
          <w:sz w:val="18"/>
          <w:szCs w:val="22"/>
          <w:lang w:val="pl-PL"/>
        </w:rPr>
      </w:pPr>
    </w:p>
    <w:p w14:paraId="1EDFF0DB" w14:textId="77777777" w:rsidR="000F7FDF" w:rsidRPr="00F2423D" w:rsidRDefault="000F7FDF" w:rsidP="000F7FDF">
      <w:pPr>
        <w:pStyle w:val="ListParagraph"/>
        <w:ind w:left="0"/>
        <w:rPr>
          <w:rFonts w:ascii="Arial" w:hAnsi="Arial" w:cs="Arial"/>
          <w:sz w:val="18"/>
          <w:szCs w:val="22"/>
          <w:lang w:val="pl-PL"/>
        </w:rPr>
      </w:pPr>
      <w:r w:rsidRPr="00F2423D">
        <w:rPr>
          <w:rFonts w:ascii="Arial" w:hAnsi="Arial" w:cs="Arial"/>
          <w:sz w:val="18"/>
          <w:szCs w:val="22"/>
          <w:vertAlign w:val="superscript"/>
          <w:lang w:val="pl-PL"/>
        </w:rPr>
        <w:t>2</w:t>
      </w:r>
      <w:r w:rsidRPr="00F2423D">
        <w:rPr>
          <w:rFonts w:ascii="Arial" w:hAnsi="Arial" w:cs="Arial"/>
          <w:sz w:val="18"/>
          <w:szCs w:val="22"/>
          <w:lang w:val="pl-PL"/>
        </w:rPr>
        <w:t xml:space="preserve"> Moc i moment obrotowy mierzone zgodnie z normami ECE R85-00.</w:t>
      </w:r>
    </w:p>
    <w:p w14:paraId="1027CE23" w14:textId="77777777" w:rsidR="000F7FDF" w:rsidRPr="00F2423D" w:rsidRDefault="000F7FDF" w:rsidP="000F7FDF">
      <w:pPr>
        <w:pStyle w:val="ListParagraph"/>
        <w:ind w:left="0"/>
        <w:rPr>
          <w:rFonts w:ascii="Arial" w:hAnsi="Arial" w:cs="Arial"/>
          <w:sz w:val="18"/>
          <w:szCs w:val="22"/>
          <w:lang w:val="pl-PL"/>
        </w:rPr>
      </w:pPr>
    </w:p>
    <w:p w14:paraId="621BE09E" w14:textId="77777777" w:rsidR="000F7FDF" w:rsidRPr="00F2423D" w:rsidRDefault="000F7FDF" w:rsidP="000F7FDF">
      <w:pPr>
        <w:pStyle w:val="ListParagraph"/>
        <w:ind w:left="0"/>
        <w:rPr>
          <w:rFonts w:ascii="Arial" w:hAnsi="Arial" w:cs="Arial"/>
          <w:sz w:val="18"/>
          <w:szCs w:val="22"/>
          <w:lang w:val="pl-PL"/>
        </w:rPr>
      </w:pPr>
      <w:r w:rsidRPr="00F2423D">
        <w:rPr>
          <w:rFonts w:ascii="Arial" w:hAnsi="Arial" w:cs="Arial"/>
          <w:sz w:val="18"/>
          <w:szCs w:val="22"/>
          <w:vertAlign w:val="superscript"/>
          <w:lang w:val="pl-PL"/>
        </w:rPr>
        <w:t>3</w:t>
      </w:r>
      <w:r w:rsidRPr="00F2423D">
        <w:rPr>
          <w:rFonts w:ascii="Arial" w:hAnsi="Arial" w:cs="Arial"/>
          <w:sz w:val="18"/>
          <w:szCs w:val="22"/>
          <w:lang w:val="pl-PL"/>
        </w:rPr>
        <w:t xml:space="preserve"> Moc i moment obrotowy są niezależnymi od siebie parametrami i ich maksymalne wartości nie mogą być osiągnięte jednocześnie.</w:t>
      </w:r>
    </w:p>
    <w:p w14:paraId="6284E750" w14:textId="77777777" w:rsidR="000F7FDF" w:rsidRPr="00F2423D" w:rsidRDefault="000F7FDF" w:rsidP="000F7FDF">
      <w:pPr>
        <w:pStyle w:val="ListParagraph"/>
        <w:ind w:left="0"/>
        <w:rPr>
          <w:rFonts w:ascii="Arial" w:hAnsi="Arial" w:cs="Arial"/>
          <w:sz w:val="18"/>
          <w:szCs w:val="22"/>
          <w:lang w:val="pl-PL"/>
        </w:rPr>
      </w:pPr>
    </w:p>
    <w:p w14:paraId="1FAAC0B4" w14:textId="77777777" w:rsidR="000F7FDF" w:rsidRPr="00F2423D" w:rsidRDefault="000F7FDF" w:rsidP="000F7FDF">
      <w:pPr>
        <w:pStyle w:val="ListParagraph"/>
        <w:ind w:left="0"/>
        <w:rPr>
          <w:rFonts w:ascii="Arial" w:hAnsi="Arial" w:cs="Arial"/>
          <w:sz w:val="18"/>
          <w:szCs w:val="22"/>
          <w:lang w:val="pl-PL"/>
        </w:rPr>
      </w:pPr>
      <w:r w:rsidRPr="00F2423D">
        <w:rPr>
          <w:rFonts w:ascii="Arial" w:hAnsi="Arial" w:cs="Arial"/>
          <w:sz w:val="18"/>
          <w:szCs w:val="22"/>
          <w:vertAlign w:val="superscript"/>
          <w:lang w:val="pl-PL"/>
        </w:rPr>
        <w:t>4</w:t>
      </w:r>
      <w:r w:rsidRPr="00F2423D">
        <w:rPr>
          <w:rFonts w:ascii="Arial" w:hAnsi="Arial" w:cs="Arial"/>
          <w:sz w:val="18"/>
          <w:szCs w:val="22"/>
          <w:lang w:val="pl-PL"/>
        </w:rPr>
        <w:t xml:space="preserve"> Systemy asystenckie wspomagania są uzupełnieniem uwagi kierowcy ale nie zastępują oceny sytuacji i konieczności kontrolowania przez niego pojazdu.</w:t>
      </w:r>
    </w:p>
    <w:p w14:paraId="377E060A" w14:textId="77777777" w:rsidR="000F7FDF" w:rsidRDefault="000F7FDF" w:rsidP="005F6D37">
      <w:pPr>
        <w:pStyle w:val="BodyText2"/>
        <w:spacing w:line="276" w:lineRule="auto"/>
        <w:rPr>
          <w:rFonts w:ascii="Arial" w:hAnsi="Arial" w:cs="Arial"/>
          <w:color w:val="000000"/>
          <w:lang w:val="pl-PL"/>
        </w:rPr>
      </w:pPr>
    </w:p>
    <w:p w14:paraId="0FB02440" w14:textId="77777777" w:rsidR="000F7FDF" w:rsidRDefault="000F7FDF" w:rsidP="000F7FDF">
      <w:pPr>
        <w:pStyle w:val="BodyText2"/>
        <w:spacing w:line="276" w:lineRule="auto"/>
        <w:jc w:val="center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# # #</w:t>
      </w:r>
    </w:p>
    <w:p w14:paraId="23EF6108" w14:textId="77777777" w:rsidR="000F7FDF" w:rsidRDefault="000F7FDF" w:rsidP="000F7FDF">
      <w:pPr>
        <w:pStyle w:val="BodyText2"/>
        <w:spacing w:line="276" w:lineRule="auto"/>
        <w:rPr>
          <w:rFonts w:ascii="Arial" w:hAnsi="Arial" w:cs="Arial"/>
          <w:color w:val="000000"/>
          <w:lang w:val="pl-PL"/>
        </w:rPr>
      </w:pPr>
    </w:p>
    <w:p w14:paraId="6E08EB67" w14:textId="77777777" w:rsidR="00785B60" w:rsidRPr="00205F19" w:rsidRDefault="000F1749">
      <w:pPr>
        <w:spacing w:line="276" w:lineRule="auto"/>
        <w:jc w:val="both"/>
        <w:rPr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pl-PL"/>
        </w:rPr>
        <w:t>Ford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 xml:space="preserve">, globalna amerykańska marka, od ponad 100 lat wplatająca się 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w europejskie struktury, stawia na swobodę przemieszczania się, łącząc to z troską o planetę i każdego z nas. Realizowany przez firmę plan Ford+, uwzględniający sektory działalności Model e, Ford Pro i Ford Blue, wpływa na przyspieszenie europejskiej trans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formacji w kierunku pełnej elektryfikacji napędów i neutralności węglowej do roku 2035. Firma podąża z postępem, wprowadzając nowatorskie pojazdy elektryczne, z których każdy został zaprojektowany z myślą o europejskich kierowcach, a także oferując innowac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 xml:space="preserve">yjne usługi, ułatwiające komunikację międzyludzką, rozwój społeczności i przedsiębiorstw. Ford w Europie sprzedaje i serwisuje pojazdy marki Ford na 50 indywidualnych rynkach, a działania obejmują również Ford 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lastRenderedPageBreak/>
        <w:t>Motor Credit Company, Ford Customer Service Di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vision oraz 14 oddziałów produkcyjnych (8 spółek całkowicie zależnych oraz 6 nieskonsolidowane typu joint venture) z czterema centrami zlokalizowanymi w Kolonii, w Niemczech; w Walencji, w Hiszpanii oraz z siedzibami spółki joint venture w Krajowie w Rumun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ii i Kocaeli w Turcji. Ford zatrudnia w Europie około 34 tys. pracowników we własnych oddziałach oraz spółkach typu joint venture, łącznie około 57 tys. osób, po uwzględnieniu działalności nieskonsolidowanej. Więcej informacji na temat Forda, produktów fir</w:t>
      </w:r>
      <w:r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my oraz oddziału Ford Credit na stronie corporate.ford.com.</w:t>
      </w:r>
      <w:bookmarkStart w:id="0" w:name="_Hlk51939606"/>
      <w:bookmarkStart w:id="1" w:name="_Hlk21420256"/>
      <w:bookmarkEnd w:id="0"/>
      <w:bookmarkEnd w:id="1"/>
    </w:p>
    <w:p w14:paraId="673BCCE5" w14:textId="77777777" w:rsidR="00785B60" w:rsidRDefault="00785B60">
      <w:pPr>
        <w:jc w:val="both"/>
        <w:rPr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785B60" w14:paraId="08F64832" w14:textId="77777777">
        <w:tc>
          <w:tcPr>
            <w:tcW w:w="1373" w:type="dxa"/>
          </w:tcPr>
          <w:p w14:paraId="7C305E68" w14:textId="77777777" w:rsidR="00785B60" w:rsidRDefault="000F1749">
            <w:pPr>
              <w:widowControl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Kontakt:</w:t>
            </w:r>
          </w:p>
        </w:tc>
        <w:tc>
          <w:tcPr>
            <w:tcW w:w="7987" w:type="dxa"/>
          </w:tcPr>
          <w:p w14:paraId="66A2A73A" w14:textId="77777777" w:rsidR="00785B60" w:rsidRDefault="000F174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Mariusz Jasiński</w:t>
            </w:r>
          </w:p>
        </w:tc>
      </w:tr>
      <w:tr w:rsidR="00785B60" w:rsidRPr="00205F19" w14:paraId="5CE1C2B3" w14:textId="77777777">
        <w:tc>
          <w:tcPr>
            <w:tcW w:w="1373" w:type="dxa"/>
          </w:tcPr>
          <w:p w14:paraId="6B3C5DC2" w14:textId="77777777" w:rsidR="00785B60" w:rsidRDefault="00785B6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987" w:type="dxa"/>
          </w:tcPr>
          <w:p w14:paraId="05E5D324" w14:textId="77777777" w:rsidR="00785B60" w:rsidRDefault="000F174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pl-PL" w:eastAsia="ar-SA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 w:eastAsia="ar-SA" w:bidi="hi-IN"/>
              </w:rPr>
              <w:t xml:space="preserve">Ford Polska Sp. z o.o.  </w:t>
            </w:r>
          </w:p>
        </w:tc>
      </w:tr>
      <w:tr w:rsidR="00785B60" w14:paraId="18CC11E4" w14:textId="77777777">
        <w:tc>
          <w:tcPr>
            <w:tcW w:w="1373" w:type="dxa"/>
          </w:tcPr>
          <w:p w14:paraId="5BF736D3" w14:textId="77777777" w:rsidR="00785B60" w:rsidRDefault="00785B6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pl-PL" w:eastAsia="zh-CN"/>
              </w:rPr>
            </w:pPr>
          </w:p>
        </w:tc>
        <w:tc>
          <w:tcPr>
            <w:tcW w:w="7987" w:type="dxa"/>
          </w:tcPr>
          <w:p w14:paraId="35FF28C6" w14:textId="77777777" w:rsidR="00785B60" w:rsidRDefault="000F1749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ar-SA"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 w:bidi="hi-IN"/>
              </w:rPr>
              <w:t xml:space="preserve">(22) 6086815   </w:t>
            </w:r>
          </w:p>
        </w:tc>
      </w:tr>
      <w:tr w:rsidR="00785B60" w14:paraId="782414D2" w14:textId="77777777">
        <w:tc>
          <w:tcPr>
            <w:tcW w:w="1373" w:type="dxa"/>
          </w:tcPr>
          <w:p w14:paraId="67D72920" w14:textId="77777777" w:rsidR="00785B60" w:rsidRDefault="00785B6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987" w:type="dxa"/>
          </w:tcPr>
          <w:p w14:paraId="44518D89" w14:textId="77777777" w:rsidR="00785B60" w:rsidRDefault="000F1749">
            <w:pPr>
              <w:widowControl w:val="0"/>
            </w:pPr>
            <w:hyperlink r:id="rId7">
              <w:r>
                <w:rPr>
                  <w:rFonts w:ascii="Arial" w:hAnsi="Arial" w:cs="Arial"/>
                  <w:color w:val="000000"/>
                  <w:sz w:val="22"/>
                  <w:szCs w:val="22"/>
                  <w:u w:val="single"/>
                  <w:lang w:eastAsia="ar-SA"/>
                </w:rPr>
                <w:t>mjasinsk@ford.com</w:t>
              </w:r>
            </w:hyperlink>
          </w:p>
          <w:p w14:paraId="07AFA39B" w14:textId="77777777" w:rsidR="00785B60" w:rsidRDefault="00785B60">
            <w:pPr>
              <w:widowControl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1B3FC03E" w14:textId="77777777" w:rsidR="00785B60" w:rsidRDefault="00785B60">
      <w:pPr>
        <w:pStyle w:val="BodyText2"/>
        <w:spacing w:line="276" w:lineRule="auto"/>
        <w:rPr>
          <w:rFonts w:ascii="Arial" w:hAnsi="Arial" w:cs="Arial"/>
          <w:color w:val="000000"/>
          <w:lang w:val="pl-PL"/>
        </w:rPr>
      </w:pPr>
    </w:p>
    <w:p w14:paraId="77BEB90D" w14:textId="77777777" w:rsidR="00785B60" w:rsidRDefault="00785B60"/>
    <w:sectPr w:rsidR="00785B60"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109C" w14:textId="77777777" w:rsidR="000F1749" w:rsidRDefault="000F1749">
      <w:r>
        <w:separator/>
      </w:r>
    </w:p>
  </w:endnote>
  <w:endnote w:type="continuationSeparator" w:id="0">
    <w:p w14:paraId="0C29B904" w14:textId="77777777" w:rsidR="000F1749" w:rsidRDefault="000F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charset w:val="01"/>
    <w:family w:val="roman"/>
    <w:pitch w:val="default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Layout w:type="fixed"/>
      <w:tblLook w:val="04A0" w:firstRow="1" w:lastRow="0" w:firstColumn="1" w:lastColumn="0" w:noHBand="0" w:noVBand="1"/>
    </w:tblPr>
    <w:tblGrid>
      <w:gridCol w:w="9468"/>
      <w:gridCol w:w="1788"/>
    </w:tblGrid>
    <w:tr w:rsidR="00785B60" w:rsidRPr="00205F19" w14:paraId="1DC84848" w14:textId="77777777">
      <w:tc>
        <w:tcPr>
          <w:tcW w:w="9468" w:type="dxa"/>
        </w:tcPr>
        <w:p w14:paraId="57FF4FFE" w14:textId="77777777" w:rsidR="00785B60" w:rsidRDefault="000F1749">
          <w:pPr>
            <w:pStyle w:val="Footer"/>
            <w:widowControl w:val="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3" behindDoc="0" locked="0" layoutInCell="0" allowOverlap="1" wp14:anchorId="2DD6274A" wp14:editId="0BAE05F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7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4086CA7A" w14:textId="77777777" w:rsidR="00785B60" w:rsidRDefault="000F1749">
                                <w:pPr>
                                  <w:pStyle w:val="Footer"/>
                                </w:pPr>
                                <w:r>
                                  <w:rPr>
                                    <w:rStyle w:val="PageNumber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5pt;height:11.55pt;mso-wrap-distance-left:0pt;mso-wrap-distance-right:0pt;mso-wrap-distance-top:0pt;mso-wrap-distance-bottom:0pt;margin-top:0.05pt;mso-position-vertical-relative:text;margin-left:206.3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78ACBA8E" w14:textId="77777777" w:rsidR="00785B60" w:rsidRDefault="00785B60">
          <w:pPr>
            <w:pStyle w:val="Footer"/>
          </w:pPr>
        </w:p>
        <w:p w14:paraId="157DE063" w14:textId="77777777" w:rsidR="00785B60" w:rsidRPr="00205F19" w:rsidRDefault="000F1749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fordmedia.pl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media.ford.com.</w:t>
            </w:r>
          </w:hyperlink>
        </w:p>
        <w:p w14:paraId="1915E0C0" w14:textId="77777777" w:rsidR="00785B60" w:rsidRDefault="000F1749">
          <w:pPr>
            <w:pStyle w:val="Stopka1"/>
            <w:widowControl w:val="0"/>
            <w:jc w:val="center"/>
          </w:pPr>
          <w:hyperlink r:id="rId3">
            <w:r>
              <w:rPr>
                <w:rStyle w:val="czeinternetowe"/>
                <w:rFonts w:ascii="Arial" w:eastAsia="Calibri" w:hAnsi="Arial" w:cs="Arial"/>
                <w:color w:val="000000"/>
                <w:sz w:val="18"/>
                <w:szCs w:val="18"/>
                <w:lang w:eastAsia="en-GB"/>
              </w:rPr>
              <w:t xml:space="preserve">Śledź nas na: </w:t>
            </w:r>
          </w:hyperlink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eastAsia="en-GB"/>
              </w:rPr>
              <w:t>x.com/FordPolska</w:t>
            </w:r>
          </w:hyperlink>
          <w:r>
            <w:rPr>
              <w:rStyle w:val="czeinternetowe"/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, </w:t>
          </w:r>
          <w:hyperlink r:id="rId5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eastAsia="en-GB"/>
              </w:rPr>
              <w:t>youtube.com/fordpolska</w:t>
            </w:r>
          </w:hyperlink>
          <w:r>
            <w:rPr>
              <w:rStyle w:val="czeinternetowe"/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, </w:t>
          </w:r>
          <w:hyperlink r:id="rId6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eastAsia="en-GB"/>
              </w:rPr>
              <w:t>instagram.com/fordpolska</w:t>
            </w:r>
          </w:hyperlink>
        </w:p>
      </w:tc>
      <w:tc>
        <w:tcPr>
          <w:tcW w:w="1788" w:type="dxa"/>
        </w:tcPr>
        <w:p w14:paraId="775BF4B9" w14:textId="77777777" w:rsidR="00785B60" w:rsidRPr="00205F19" w:rsidRDefault="00785B60">
          <w:pPr>
            <w:pStyle w:val="Footer"/>
            <w:widowControl w:val="0"/>
            <w:rPr>
              <w:lang w:val="pl-PL"/>
            </w:rPr>
          </w:pPr>
        </w:p>
      </w:tc>
    </w:tr>
  </w:tbl>
  <w:p w14:paraId="2789BB5D" w14:textId="77777777" w:rsidR="00785B60" w:rsidRPr="00205F19" w:rsidRDefault="00785B60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AEF8" w14:textId="77777777" w:rsidR="00785B60" w:rsidRDefault="00785B60">
    <w:pPr>
      <w:pStyle w:val="Footer"/>
    </w:pPr>
  </w:p>
  <w:p w14:paraId="47610EEC" w14:textId="77777777" w:rsidR="00785B60" w:rsidRPr="00205F19" w:rsidRDefault="000F1749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>Więcej informacji prasowych, powiązanych materiałów oraz zdjęć i filmów w wysokiej rozdzielczości m</w:t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fordmedia.pl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media.ford.com.</w:t>
      </w:r>
    </w:hyperlink>
  </w:p>
  <w:p w14:paraId="718661BA" w14:textId="77777777" w:rsidR="00785B60" w:rsidRDefault="000F1749">
    <w:pPr>
      <w:pStyle w:val="Stopka1"/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</w:rPr>
        <w:t>x.com/FordPolska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, </w:t>
    </w:r>
    <w:hyperlink r:id="rId4">
      <w:r>
        <w:rPr>
          <w:rStyle w:val="czeinternetowe"/>
          <w:rFonts w:ascii="Arial" w:eastAsia="Calibri" w:hAnsi="Arial" w:cs="Arial"/>
          <w:sz w:val="18"/>
          <w:szCs w:val="18"/>
        </w:rPr>
        <w:t>youtube.com/fordpolska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, </w:t>
    </w:r>
    <w:hyperlink r:id="rId5">
      <w:r>
        <w:rPr>
          <w:rStyle w:val="czeinternetowe"/>
          <w:rFonts w:ascii="Arial" w:eastAsia="Calibri" w:hAnsi="Arial" w:cs="Arial"/>
          <w:sz w:val="18"/>
          <w:szCs w:val="18"/>
        </w:rPr>
        <w:t>instagram.com/fordpolska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2034" w14:textId="77777777" w:rsidR="000F1749" w:rsidRDefault="000F1749">
      <w:r>
        <w:separator/>
      </w:r>
    </w:p>
  </w:footnote>
  <w:footnote w:type="continuationSeparator" w:id="0">
    <w:p w14:paraId="71AA444A" w14:textId="77777777" w:rsidR="000F1749" w:rsidRDefault="000F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275D" w14:textId="77777777" w:rsidR="00785B60" w:rsidRDefault="000F1749">
    <w:pPr>
      <w:pStyle w:val="Header"/>
      <w:tabs>
        <w:tab w:val="clear" w:pos="4320"/>
        <w:tab w:val="clear" w:pos="8640"/>
        <w:tab w:val="left" w:pos="1483"/>
        <w:tab w:val="left" w:pos="5925"/>
      </w:tabs>
      <w:ind w:left="227"/>
    </w:pPr>
    <w:r>
      <w:rPr>
        <w:noProof/>
      </w:rPr>
      <w:drawing>
        <wp:anchor distT="0" distB="0" distL="114300" distR="114300" simplePos="0" relativeHeight="4" behindDoc="0" locked="0" layoutInCell="0" allowOverlap="1" wp14:anchorId="2E28BF63" wp14:editId="6C42F1D5">
          <wp:simplePos x="0" y="0"/>
          <wp:positionH relativeFrom="column">
            <wp:posOffset>-31750</wp:posOffset>
          </wp:positionH>
          <wp:positionV relativeFrom="paragraph">
            <wp:posOffset>38100</wp:posOffset>
          </wp:positionV>
          <wp:extent cx="1098550" cy="546100"/>
          <wp:effectExtent l="0" t="0" r="0" b="0"/>
          <wp:wrapSquare wrapText="bothSides"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0" allowOverlap="1" wp14:anchorId="5F447369" wp14:editId="600C66DF">
          <wp:simplePos x="0" y="0"/>
          <wp:positionH relativeFrom="column">
            <wp:posOffset>4652645</wp:posOffset>
          </wp:positionH>
          <wp:positionV relativeFrom="paragraph">
            <wp:posOffset>66675</wp:posOffset>
          </wp:positionV>
          <wp:extent cx="260350" cy="266700"/>
          <wp:effectExtent l="0" t="0" r="0" b="0"/>
          <wp:wrapSquare wrapText="bothSides"/>
          <wp:docPr id="2" name="Picture 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03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6" behindDoc="1" locked="0" layoutInCell="0" allowOverlap="1" wp14:anchorId="56D37026" wp14:editId="0882344E">
          <wp:simplePos x="0" y="0"/>
          <wp:positionH relativeFrom="column">
            <wp:posOffset>4133850</wp:posOffset>
          </wp:positionH>
          <wp:positionV relativeFrom="paragraph">
            <wp:posOffset>72390</wp:posOffset>
          </wp:positionV>
          <wp:extent cx="391795" cy="276225"/>
          <wp:effectExtent l="0" t="0" r="0" b="0"/>
          <wp:wrapSquare wrapText="bothSides"/>
          <wp:docPr id="3" name="Picture 1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6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0" allowOverlap="1" wp14:anchorId="061D474B" wp14:editId="2C44A924">
          <wp:simplePos x="0" y="0"/>
          <wp:positionH relativeFrom="column">
            <wp:posOffset>5478145</wp:posOffset>
          </wp:positionH>
          <wp:positionV relativeFrom="paragraph">
            <wp:posOffset>55245</wp:posOffset>
          </wp:positionV>
          <wp:extent cx="281940" cy="281940"/>
          <wp:effectExtent l="0" t="0" r="0" b="0"/>
          <wp:wrapSquare wrapText="bothSides"/>
          <wp:docPr id="4" name="Picture 1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8" behindDoc="1" locked="0" layoutInCell="0" allowOverlap="1" wp14:anchorId="611999F3" wp14:editId="2E33F13F">
          <wp:simplePos x="0" y="0"/>
          <wp:positionH relativeFrom="column">
            <wp:posOffset>5046980</wp:posOffset>
          </wp:positionH>
          <wp:positionV relativeFrom="page">
            <wp:posOffset>502285</wp:posOffset>
          </wp:positionV>
          <wp:extent cx="304800" cy="304800"/>
          <wp:effectExtent l="0" t="0" r="0" b="0"/>
          <wp:wrapSquare wrapText="bothSides"/>
          <wp:docPr id="5" name="Picture 2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9" behindDoc="1" locked="0" layoutInCell="0" allowOverlap="1" wp14:anchorId="19BABBEE" wp14:editId="2BC85C39">
          <wp:simplePos x="0" y="0"/>
          <wp:positionH relativeFrom="column">
            <wp:posOffset>5904865</wp:posOffset>
          </wp:positionH>
          <wp:positionV relativeFrom="paragraph">
            <wp:posOffset>41910</wp:posOffset>
          </wp:positionV>
          <wp:extent cx="294640" cy="294640"/>
          <wp:effectExtent l="0" t="0" r="0" b="0"/>
          <wp:wrapSquare wrapText="bothSides"/>
          <wp:docPr id="6" name="Picture 3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>
                    <a:hlinkClick r:id="rId10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10"/>
        <w:sz w:val="48"/>
      </w:rPr>
      <w:t xml:space="preserve">  </w:t>
    </w:r>
    <w:r>
      <w:rPr>
        <w:rFonts w:ascii="Book Antiqua" w:hAnsi="Book Antiqua"/>
        <w:smallCaps/>
        <w:position w:val="132"/>
        <w:sz w:val="40"/>
        <w:szCs w:val="22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BE6"/>
    <w:multiLevelType w:val="multilevel"/>
    <w:tmpl w:val="B1A0E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F6066D"/>
    <w:multiLevelType w:val="multilevel"/>
    <w:tmpl w:val="5EF6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EF1602"/>
    <w:multiLevelType w:val="multilevel"/>
    <w:tmpl w:val="179E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83636461">
    <w:abstractNumId w:val="2"/>
  </w:num>
  <w:num w:numId="2" w16cid:durableId="40329375">
    <w:abstractNumId w:val="1"/>
  </w:num>
  <w:num w:numId="3" w16cid:durableId="19917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60"/>
    <w:rsid w:val="000F1749"/>
    <w:rsid w:val="000F7FDF"/>
    <w:rsid w:val="00205F19"/>
    <w:rsid w:val="005F6D37"/>
    <w:rsid w:val="00785B60"/>
    <w:rsid w:val="00B03D5E"/>
    <w:rsid w:val="00E63983"/>
    <w:rsid w:val="00F2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8C02E"/>
  <w15:docId w15:val="{F2622852-108D-46FD-9DD6-FE4CDFFD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eastAsia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  <w:lang w:eastAsia="en-US"/>
    </w:rPr>
  </w:style>
  <w:style w:type="character" w:customStyle="1" w:styleId="FooterChar">
    <w:name w:val="Footer Char"/>
    <w:qFormat/>
    <w:rPr>
      <w:szCs w:val="24"/>
      <w:lang w:val="en-GB" w:eastAsia="en-US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qFormat/>
    <w:rPr>
      <w:lang w:eastAsia="en-US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Revision">
    <w:name w:val="Revision"/>
    <w:qFormat/>
    <w:rPr>
      <w:szCs w:val="24"/>
      <w:lang w:eastAsia="en-US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lang w:eastAsia="en-GB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Stopka1">
    <w:name w:val="Stopka1"/>
    <w:basedOn w:val="Normal"/>
    <w:qFormat/>
    <w:pPr>
      <w:tabs>
        <w:tab w:val="center" w:pos="4320"/>
        <w:tab w:val="right" w:pos="8640"/>
      </w:tabs>
    </w:pPr>
    <w:rPr>
      <w:lang w:val="pl-PL" w:eastAsia="zh-CN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jasinsk@fo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d.eu/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6" Type="http://schemas.openxmlformats.org/officeDocument/2006/relationships/hyperlink" Target="https://www.instagram.com/fordpolska/" TargetMode="External"/><Relationship Id="rId5" Type="http://schemas.openxmlformats.org/officeDocument/2006/relationships/hyperlink" Target="https://www.youtube.com/fordpolska" TargetMode="External"/><Relationship Id="rId4" Type="http://schemas.openxmlformats.org/officeDocument/2006/relationships/hyperlink" Target="https://twitter.com/FordPols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ordPolska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5" Type="http://schemas.openxmlformats.org/officeDocument/2006/relationships/hyperlink" Target="https://www.instagram.com/fordpolska/" TargetMode="External"/><Relationship Id="rId4" Type="http://schemas.openxmlformats.org/officeDocument/2006/relationships/hyperlink" Target="https://www.youtube.com/fordpolsk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d.Polska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twitter.com/FordPolska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www.instagram.com/fordpolska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https://www.linkedin.com/showcase/ford-polska/" TargetMode="External"/><Relationship Id="rId4" Type="http://schemas.openxmlformats.org/officeDocument/2006/relationships/hyperlink" Target="https://www.youtube.com/user/fordpolsk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1353</Words>
  <Characters>8120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formatka 2024</dc:title>
  <dc:subject/>
  <dc:creator>Moto Target</dc:creator>
  <dc:description/>
  <cp:lastModifiedBy>Krzyczkowska, Zuzanna (Z.)</cp:lastModifiedBy>
  <cp:revision>10</cp:revision>
  <dcterms:created xsi:type="dcterms:W3CDTF">2024-04-09T13:21:00Z</dcterms:created>
  <dcterms:modified xsi:type="dcterms:W3CDTF">2024-04-09T13:26:00Z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GrammarlyDocumentId">
    <vt:lpwstr>18cc34ebf4200fd6234b0eed1eb5e627baea98cd67251727cc4696e289ab5100</vt:lpwstr>
  </property>
  <property fmtid="{D5CDD505-2E9C-101B-9397-08002B2CF9AE}" pid="4" name="MediaServiceImageTags">
    <vt:lpwstr/>
  </property>
  <property fmtid="{D5CDD505-2E9C-101B-9397-08002B2CF9AE}" pid="5" name="_NewReviewCycle">
    <vt:lpwstr/>
  </property>
</Properties>
</file>