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8"/>
          <w:szCs w:val="28"/>
          <w:u w:val="single"/>
          <w:lang w:val="pl-PL"/>
        </w:rPr>
      </w:pPr>
      <w:r>
        <w:rPr>
          <w:rFonts w:cs="Arial" w:ascii="Arial" w:hAnsi="Arial"/>
          <w:b/>
          <w:bCs/>
          <w:sz w:val="28"/>
          <w:szCs w:val="28"/>
          <w:u w:val="single"/>
          <w:lang w:val="pl-PL"/>
        </w:rPr>
        <w:t>Nowy E</w:t>
        <w:noBreakHyphen/>
        <w:t>Tourneo Courier – zestawienie informacji</w:t>
      </w:r>
    </w:p>
    <w:p>
      <w:pPr>
        <w:pStyle w:val="Normal"/>
        <w:spacing w:lineRule="auto" w:line="240" w:before="0" w:after="120"/>
        <w:rPr>
          <w:rFonts w:ascii="Arial" w:hAnsi="Arial" w:cs="Arial"/>
          <w:b/>
          <w:b/>
          <w:bCs/>
          <w:lang w:val="pl-PL"/>
        </w:rPr>
      </w:pPr>
      <w:r>
        <w:rPr>
          <w:rFonts w:cs="Arial" w:ascii="Arial" w:hAnsi="Arial"/>
          <w:b/>
          <w:bCs/>
          <w:lang w:val="pl-PL"/>
        </w:rPr>
      </w:r>
    </w:p>
    <w:p>
      <w:pPr>
        <w:pStyle w:val="Normal"/>
        <w:spacing w:lineRule="auto" w:line="240" w:before="0" w:after="0"/>
        <w:jc w:val="center"/>
        <w:rPr>
          <w:rFonts w:ascii="Arial" w:hAnsi="Arial" w:cs="Arial"/>
          <w:i/>
          <w:i/>
          <w:iCs/>
          <w:lang w:val="pl-PL"/>
        </w:rPr>
      </w:pPr>
      <w:r>
        <w:rPr>
          <w:rFonts w:cs="Arial" w:ascii="Arial" w:hAnsi="Arial"/>
          <w:i/>
          <w:iCs/>
          <w:lang w:val="pl-PL"/>
        </w:rPr>
        <w:t>Nowy E</w:t>
        <w:noBreakHyphen/>
        <w:t xml:space="preserve">Tourneo Courier to śmiały, elektryczny </w:t>
      </w:r>
      <w:r>
        <w:rPr>
          <w:rFonts w:eastAsia="Calibri" w:cs="Arial" w:ascii="Arial" w:hAnsi="Arial"/>
          <w:i/>
          <w:iCs/>
          <w:color w:val="auto"/>
          <w:kern w:val="0"/>
          <w:sz w:val="22"/>
          <w:szCs w:val="22"/>
          <w:lang w:val="pl-PL" w:eastAsia="en-US" w:bidi="ar-SA"/>
        </w:rPr>
        <w:t>model</w:t>
      </w:r>
      <w:r>
        <w:rPr>
          <w:rFonts w:cs="Arial" w:ascii="Arial" w:hAnsi="Arial"/>
          <w:i/>
          <w:iCs/>
          <w:lang w:val="pl-PL"/>
        </w:rPr>
        <w:t xml:space="preserve"> Forda, przeznaczony dla klientów prowadzących aktywny styl życia. Ten plik informacyjny zawiera więcej szczegółów na temat oferty modelu Tourneo Courier i innowacyjnej gamy rozwiązań Forda opartych na komunikacji z siecią, zaprojektowanych z myślą o zagwarantowaniu klientom nowych doświadczeń i ułatwieniu obsługi pojazdu elektrycznego.</w:t>
      </w:r>
    </w:p>
    <w:p>
      <w:pPr>
        <w:pStyle w:val="Normal"/>
        <w:tabs>
          <w:tab w:val="clear" w:pos="720"/>
          <w:tab w:val="left" w:pos="7776" w:leader="none"/>
        </w:tabs>
        <w:spacing w:lineRule="auto" w:line="240" w:before="120" w:after="0"/>
        <w:rPr>
          <w:rFonts w:ascii="Arial" w:hAnsi="Arial" w:cs="Arial"/>
          <w:b/>
          <w:b/>
          <w:bCs/>
          <w:lang w:val="pl-PL"/>
        </w:rPr>
      </w:pPr>
      <w:r>
        <w:rPr>
          <w:rFonts w:cs="Arial" w:ascii="Arial" w:hAnsi="Arial"/>
          <w:b/>
          <w:bCs/>
          <w:lang w:val="pl-PL"/>
        </w:rPr>
        <w:tab/>
      </w:r>
    </w:p>
    <w:p>
      <w:pPr>
        <w:pStyle w:val="Normal"/>
        <w:spacing w:lineRule="auto" w:line="240" w:before="0" w:after="0"/>
        <w:rPr>
          <w:rFonts w:ascii="Arial" w:hAnsi="Arial" w:cs="Arial"/>
          <w:lang w:val="pl-PL"/>
        </w:rPr>
      </w:pPr>
      <w:r>
        <w:rPr>
          <w:rFonts w:cs="Arial" w:ascii="Arial" w:hAnsi="Arial"/>
          <w:b/>
          <w:bCs/>
          <w:lang w:val="pl-PL"/>
        </w:rPr>
        <w:t>Nowa rodzina pojazdów wielo</w:t>
      </w:r>
      <w:r>
        <w:rPr>
          <w:rFonts w:eastAsia="Calibri" w:cs="Arial" w:ascii="Arial" w:hAnsi="Arial"/>
          <w:b/>
          <w:bCs/>
          <w:color w:val="auto"/>
          <w:kern w:val="0"/>
          <w:sz w:val="22"/>
          <w:szCs w:val="22"/>
          <w:lang w:val="pl-PL" w:eastAsia="en-US" w:bidi="ar-SA"/>
        </w:rPr>
        <w:t>zadaniow</w:t>
      </w:r>
      <w:r>
        <w:rPr>
          <w:rFonts w:cs="Arial" w:ascii="Arial" w:hAnsi="Arial"/>
          <w:b/>
          <w:bCs/>
          <w:lang w:val="pl-PL"/>
        </w:rPr>
        <w:t>ych Tourneo</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Pięciomiejscowy E</w:t>
        <w:noBreakHyphen/>
        <w:t>Tourneo Courier uzupełnia atrakcyjną linię nowej generacji modeli wielozadaniowych Tourneo Forda, która obejmuje również:</w:t>
      </w:r>
    </w:p>
    <w:p>
      <w:pPr>
        <w:pStyle w:val="Normal"/>
        <w:spacing w:lineRule="auto" w:line="240" w:before="0" w:after="0"/>
        <w:rPr>
          <w:rFonts w:ascii="Arial" w:hAnsi="Arial" w:cs="Arial"/>
          <w:lang w:val="pl-PL"/>
        </w:rPr>
      </w:pPr>
      <w:r>
        <w:rPr>
          <w:rFonts w:cs="Arial" w:ascii="Arial" w:hAnsi="Arial"/>
          <w:lang w:val="pl-PL"/>
        </w:rPr>
      </w:r>
    </w:p>
    <w:p>
      <w:pPr>
        <w:pStyle w:val="ListParagraph"/>
        <w:numPr>
          <w:ilvl w:val="0"/>
          <w:numId w:val="1"/>
        </w:numPr>
        <w:spacing w:lineRule="auto" w:line="240" w:before="0" w:after="0"/>
        <w:contextualSpacing/>
        <w:rPr>
          <w:rFonts w:ascii="Arial" w:hAnsi="Arial" w:cs="Arial"/>
          <w:lang w:val="pl-PL"/>
        </w:rPr>
      </w:pPr>
      <w:r>
        <w:rPr>
          <w:rFonts w:cs="Arial" w:ascii="Arial" w:hAnsi="Arial"/>
          <w:lang w:val="pl-PL"/>
        </w:rPr>
        <w:t xml:space="preserve">Siedmiomiejscowy model </w:t>
      </w:r>
      <w:hyperlink r:id="rId2">
        <w:r>
          <w:rPr>
            <w:rStyle w:val="Czeinternetowe"/>
            <w:rFonts w:cs="Arial" w:ascii="Arial" w:hAnsi="Arial"/>
            <w:lang w:val="pl-PL"/>
          </w:rPr>
          <w:t>Tourneo Connect</w:t>
        </w:r>
      </w:hyperlink>
      <w:r>
        <w:rPr>
          <w:rFonts w:cs="Arial" w:ascii="Arial" w:hAnsi="Arial"/>
          <w:lang w:val="pl-PL"/>
        </w:rPr>
        <w:t xml:space="preserve"> – w produkcji od początku 2022 roku, dostępny w całej Europie</w:t>
      </w:r>
    </w:p>
    <w:p>
      <w:pPr>
        <w:pStyle w:val="ListParagraph"/>
        <w:numPr>
          <w:ilvl w:val="0"/>
          <w:numId w:val="1"/>
        </w:numPr>
        <w:spacing w:lineRule="auto" w:line="240" w:before="0" w:after="0"/>
        <w:contextualSpacing/>
        <w:rPr>
          <w:rFonts w:ascii="Arial" w:hAnsi="Arial" w:cs="Arial"/>
          <w:lang w:val="pl-PL"/>
        </w:rPr>
      </w:pPr>
      <w:r>
        <w:rPr>
          <w:rFonts w:cs="Arial" w:ascii="Arial" w:hAnsi="Arial"/>
          <w:lang w:val="pl-PL"/>
        </w:rPr>
        <w:t xml:space="preserve">Nowy, dziewięciomiejscowy </w:t>
      </w:r>
      <w:hyperlink r:id="rId3">
        <w:r>
          <w:rPr>
            <w:rStyle w:val="Czeinternetowe"/>
            <w:rFonts w:cs="Arial" w:ascii="Arial" w:hAnsi="Arial"/>
            <w:lang w:val="pl-PL"/>
          </w:rPr>
          <w:t>Tourneo Custom</w:t>
        </w:r>
      </w:hyperlink>
      <w:r>
        <w:rPr>
          <w:rFonts w:cs="Arial" w:ascii="Arial" w:hAnsi="Arial"/>
          <w:lang w:val="pl-PL"/>
        </w:rPr>
        <w:t xml:space="preserve"> – zaprezentowany w listopadzie 2022 r., wchodzi do produkcji jeszcze w tym roku, a od wiosny 2024 dostępny będzie w wersji w pełni elektrycznej E</w:t>
        <w:noBreakHyphen/>
        <w:t>Tourneo Custom.</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Wszystkie oferują wyjątkową przestronność, walory praktyczne i styl, idealne dla klientów prowadzących aktywny tryb życia.</w:t>
      </w:r>
    </w:p>
    <w:p>
      <w:pPr>
        <w:pStyle w:val="Normal"/>
        <w:spacing w:lineRule="auto" w:line="240" w:before="12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b/>
          <w:b/>
          <w:bCs/>
          <w:lang w:val="pl-PL"/>
        </w:rPr>
      </w:pPr>
      <w:r>
        <w:rPr>
          <w:rFonts w:cs="Arial" w:ascii="Arial" w:hAnsi="Arial"/>
          <w:b/>
          <w:bCs/>
          <w:lang w:val="pl-PL"/>
        </w:rPr>
        <w:t>Odważna nowa stylistyka nadwozia i wnętrza</w:t>
      </w:r>
    </w:p>
    <w:p>
      <w:pPr>
        <w:pStyle w:val="BodyText2"/>
        <w:spacing w:lineRule="auto" w:line="240"/>
        <w:rPr>
          <w:rFonts w:ascii="Arial" w:hAnsi="Arial" w:cs="Arial"/>
          <w:bCs/>
          <w:sz w:val="22"/>
          <w:szCs w:val="22"/>
          <w:lang w:val="pl-PL"/>
        </w:rPr>
      </w:pPr>
      <w:r>
        <w:rPr>
          <w:rFonts w:cs="Arial" w:ascii="Arial" w:hAnsi="Arial"/>
          <w:bCs/>
          <w:sz w:val="22"/>
          <w:szCs w:val="22"/>
          <w:lang w:val="pl-PL"/>
        </w:rPr>
      </w:r>
    </w:p>
    <w:p>
      <w:pPr>
        <w:pStyle w:val="BodyText2"/>
        <w:spacing w:lineRule="auto" w:line="240"/>
        <w:rPr>
          <w:rFonts w:ascii="Arial" w:hAnsi="Arial" w:cs="Arial"/>
          <w:bCs/>
          <w:sz w:val="22"/>
          <w:szCs w:val="22"/>
          <w:lang w:val="pl-PL"/>
        </w:rPr>
      </w:pPr>
      <w:r>
        <w:rPr>
          <w:rFonts w:cs="Arial" w:ascii="Arial" w:hAnsi="Arial"/>
          <w:bCs/>
          <w:sz w:val="22"/>
          <w:szCs w:val="22"/>
          <w:lang w:val="pl-PL"/>
        </w:rPr>
        <w:t>E</w:t>
        <w:noBreakHyphen/>
        <w:t xml:space="preserve">Tourneo Courier łączy w sobie charakterystyczne elementy stylistyki SUV-a, futurystyczne rozwiązania pojazdu elektrycznego oraz zalety praktyczne, których wymaga intensywny tryb życia i plenerowa aktywność. </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w:t>
      </w:r>
      <w:r>
        <w:rPr>
          <w:rFonts w:cs="Arial" w:ascii="Arial" w:hAnsi="Arial"/>
          <w:lang w:val="pl-PL"/>
        </w:rPr>
        <w:t>Nowy E</w:t>
        <w:noBreakHyphen/>
        <w:t xml:space="preserve">Tourneo Courier to </w:t>
      </w:r>
      <w:r>
        <w:rPr>
          <w:rFonts w:eastAsia="Calibri" w:cs="Arial" w:ascii="Arial" w:hAnsi="Arial"/>
          <w:color w:val="auto"/>
          <w:kern w:val="0"/>
          <w:sz w:val="22"/>
          <w:szCs w:val="22"/>
          <w:lang w:val="pl-PL" w:eastAsia="en-US" w:bidi="ar-SA"/>
        </w:rPr>
        <w:t>solidny</w:t>
      </w:r>
      <w:r>
        <w:rPr>
          <w:rFonts w:cs="Arial" w:ascii="Arial" w:hAnsi="Arial"/>
          <w:lang w:val="pl-PL"/>
        </w:rPr>
        <w:t xml:space="preserve">, pełen zapału partner w zabieganym życiu naszych klientów, prezentujący inspirowany SUV-em </w:t>
      </w:r>
      <w:r>
        <w:rPr>
          <w:rFonts w:eastAsia="Calibri" w:cs="Arial" w:ascii="Arial" w:hAnsi="Arial"/>
          <w:color w:val="auto"/>
          <w:kern w:val="0"/>
          <w:sz w:val="22"/>
          <w:szCs w:val="22"/>
          <w:lang w:val="pl-PL" w:eastAsia="en-US" w:bidi="ar-SA"/>
        </w:rPr>
        <w:t>styl</w:t>
      </w:r>
      <w:r>
        <w:rPr>
          <w:rFonts w:cs="Arial" w:ascii="Arial" w:hAnsi="Arial"/>
          <w:lang w:val="pl-PL"/>
        </w:rPr>
        <w:t>, sprawdzającą się na co dzień praktyczność i elementy charakterystyczne tylko dla modeli elektrycznych” – mówi Amko Leenarts, dyrektor ds. designu w Ford of Europe. „Wiemy, że klienci cenią uniwersalną przestrzeń i łatwy dostęp, ulepszyliśmy więc oba te elementy i dodaliśmy cyfrowy kokpit oraz innowacyjne nowe schowki, aby E</w:t>
        <w:noBreakHyphen/>
        <w:t xml:space="preserve">Tourneo Courier był bardziej </w:t>
      </w:r>
      <w:r>
        <w:rPr>
          <w:rFonts w:eastAsia="Calibri" w:cs="Arial" w:ascii="Arial" w:hAnsi="Arial"/>
          <w:color w:val="auto"/>
          <w:kern w:val="0"/>
          <w:sz w:val="22"/>
          <w:szCs w:val="22"/>
          <w:lang w:val="pl-PL" w:eastAsia="en-US" w:bidi="ar-SA"/>
        </w:rPr>
        <w:t>atrakcyjny</w:t>
      </w:r>
      <w:r>
        <w:rPr>
          <w:rFonts w:cs="Arial" w:ascii="Arial" w:hAnsi="Arial"/>
          <w:lang w:val="pl-PL"/>
        </w:rPr>
        <w:t xml:space="preserve"> i praktyczny niż kiedykolwiek.”</w:t>
      </w:r>
    </w:p>
    <w:p>
      <w:pPr>
        <w:pStyle w:val="Normal"/>
        <w:spacing w:lineRule="auto" w:line="240" w:before="0" w:after="0"/>
        <w:rPr>
          <w:rFonts w:ascii="Arial" w:hAnsi="Arial" w:cs="Arial"/>
          <w:lang w:val="pl-PL"/>
        </w:rPr>
      </w:pPr>
      <w:r>
        <w:rPr>
          <w:rFonts w:cs="Arial" w:ascii="Arial" w:hAnsi="Arial"/>
          <w:lang w:val="pl-PL"/>
        </w:rPr>
      </w:r>
    </w:p>
    <w:p>
      <w:pPr>
        <w:pStyle w:val="BodyText2"/>
        <w:spacing w:lineRule="auto" w:line="240"/>
        <w:rPr>
          <w:rFonts w:ascii="Arial" w:hAnsi="Arial" w:cs="Arial"/>
          <w:bCs/>
          <w:sz w:val="22"/>
          <w:szCs w:val="22"/>
          <w:lang w:val="pl-PL"/>
        </w:rPr>
      </w:pPr>
      <w:r>
        <w:rPr>
          <w:rFonts w:cs="Arial" w:ascii="Arial" w:hAnsi="Arial"/>
          <w:bCs/>
          <w:sz w:val="22"/>
          <w:szCs w:val="22"/>
          <w:lang w:val="pl-PL"/>
        </w:rPr>
        <w:t>Zarówno w wersji w pełni elektrycznej, jak i napędzanej silnikiem benzynowym EcoBoost</w:t>
      </w:r>
      <w:r>
        <w:rPr>
          <w:rFonts w:cs="Arial" w:ascii="Arial" w:hAnsi="Arial"/>
          <w:sz w:val="22"/>
          <w:szCs w:val="22"/>
          <w:vertAlign w:val="superscript"/>
          <w:lang w:val="pl-PL"/>
        </w:rPr>
        <w:t>1</w:t>
      </w:r>
      <w:r>
        <w:rPr>
          <w:rFonts w:cs="Arial" w:ascii="Arial" w:hAnsi="Arial"/>
          <w:bCs/>
          <w:sz w:val="22"/>
          <w:szCs w:val="22"/>
          <w:lang w:val="pl-PL"/>
        </w:rPr>
        <w:t xml:space="preserve">, zwraca uwagę zupełnie nowy projekt nadwozia, z wysoką linią maski i krótkimi zwisami, </w:t>
      </w:r>
      <w:r>
        <w:rPr>
          <w:rFonts w:eastAsia="Times New Roman" w:cs="Arial" w:ascii="Arial" w:hAnsi="Arial"/>
          <w:bCs/>
          <w:color w:val="auto"/>
          <w:kern w:val="0"/>
          <w:sz w:val="22"/>
          <w:szCs w:val="22"/>
          <w:lang w:val="pl-PL" w:eastAsia="zh-CN" w:bidi="ar-SA"/>
        </w:rPr>
        <w:t xml:space="preserve">dzięki czemu </w:t>
      </w:r>
      <w:r>
        <w:rPr>
          <w:rFonts w:cs="Arial" w:ascii="Arial" w:hAnsi="Arial"/>
          <w:bCs/>
          <w:sz w:val="22"/>
          <w:szCs w:val="22"/>
          <w:lang w:val="pl-PL"/>
        </w:rPr>
        <w:t>sylwetk</w:t>
      </w:r>
      <w:r>
        <w:rPr>
          <w:rFonts w:eastAsia="Times New Roman" w:cs="Arial" w:ascii="Arial" w:hAnsi="Arial"/>
          <w:bCs/>
          <w:color w:val="auto"/>
          <w:kern w:val="0"/>
          <w:sz w:val="22"/>
          <w:szCs w:val="22"/>
          <w:lang w:val="pl-PL" w:eastAsia="zh-CN" w:bidi="ar-SA"/>
        </w:rPr>
        <w:t>a</w:t>
      </w:r>
      <w:r>
        <w:rPr>
          <w:rFonts w:cs="Arial" w:ascii="Arial" w:hAnsi="Arial"/>
          <w:bCs/>
          <w:sz w:val="22"/>
          <w:szCs w:val="22"/>
          <w:lang w:val="pl-PL"/>
        </w:rPr>
        <w:t xml:space="preserve"> </w:t>
      </w:r>
      <w:r>
        <w:rPr>
          <w:rFonts w:eastAsia="Times New Roman" w:cs="Arial" w:ascii="Arial" w:hAnsi="Arial"/>
          <w:bCs/>
          <w:color w:val="auto"/>
          <w:kern w:val="0"/>
          <w:sz w:val="22"/>
          <w:szCs w:val="22"/>
          <w:lang w:val="pl-PL" w:eastAsia="zh-CN" w:bidi="ar-SA"/>
        </w:rPr>
        <w:t>wydaje się przysadzista</w:t>
      </w:r>
      <w:r>
        <w:rPr>
          <w:rFonts w:cs="Arial" w:ascii="Arial" w:hAnsi="Arial"/>
          <w:bCs/>
          <w:sz w:val="22"/>
          <w:szCs w:val="22"/>
          <w:lang w:val="pl-PL"/>
        </w:rPr>
        <w:t>, natomiast wykończone na czarno słupki tworzą wrażenie niższej linii dachu i płynnego przeszklenia kabiny. Wyjątkowy charakter estetyki E</w:t>
        <w:noBreakHyphen/>
        <w:t xml:space="preserve">Tourneo Courier wzmacniają: chromowana krata przedniego wlotu powietrza z „diamentowym” wzorem i zintegrowanymi reflektorami, listwa oświetleniowa LED, biegnąca w poprzek całego przodu, </w:t>
      </w:r>
      <w:r>
        <w:rPr>
          <w:rFonts w:eastAsia="Times New Roman" w:cs="Arial" w:ascii="Arial" w:hAnsi="Arial"/>
          <w:bCs/>
          <w:color w:val="auto"/>
          <w:kern w:val="0"/>
          <w:sz w:val="22"/>
          <w:szCs w:val="22"/>
          <w:lang w:val="pl-PL" w:eastAsia="zh-CN" w:bidi="ar-SA"/>
        </w:rPr>
        <w:t>typowa dla</w:t>
      </w:r>
      <w:r>
        <w:rPr>
          <w:rFonts w:cs="Arial" w:ascii="Arial" w:hAnsi="Arial"/>
          <w:bCs/>
          <w:sz w:val="22"/>
          <w:szCs w:val="22"/>
          <w:lang w:val="pl-PL"/>
        </w:rPr>
        <w:t xml:space="preserve"> model</w:t>
      </w:r>
      <w:r>
        <w:rPr>
          <w:rFonts w:eastAsia="Times New Roman" w:cs="Arial" w:ascii="Arial" w:hAnsi="Arial"/>
          <w:bCs/>
          <w:color w:val="auto"/>
          <w:kern w:val="0"/>
          <w:sz w:val="22"/>
          <w:szCs w:val="22"/>
          <w:lang w:val="pl-PL" w:eastAsia="zh-CN" w:bidi="ar-SA"/>
        </w:rPr>
        <w:t>i</w:t>
      </w:r>
      <w:r>
        <w:rPr>
          <w:rFonts w:cs="Arial" w:ascii="Arial" w:hAnsi="Arial"/>
          <w:bCs/>
          <w:sz w:val="22"/>
          <w:szCs w:val="22"/>
          <w:lang w:val="pl-PL"/>
        </w:rPr>
        <w:t xml:space="preserve"> </w:t>
      </w:r>
      <w:r>
        <w:rPr>
          <w:rFonts w:eastAsia="Times New Roman" w:cs="Arial" w:ascii="Arial" w:hAnsi="Arial"/>
          <w:bCs/>
          <w:color w:val="auto"/>
          <w:kern w:val="0"/>
          <w:sz w:val="22"/>
          <w:szCs w:val="22"/>
          <w:lang w:val="pl-PL" w:eastAsia="zh-CN" w:bidi="ar-SA"/>
        </w:rPr>
        <w:t>Forda</w:t>
      </w:r>
      <w:r>
        <w:rPr>
          <w:rFonts w:cs="Arial" w:ascii="Arial" w:hAnsi="Arial"/>
          <w:bCs/>
          <w:sz w:val="22"/>
          <w:szCs w:val="22"/>
          <w:lang w:val="pl-PL"/>
        </w:rPr>
        <w:t xml:space="preserve"> oraz aerodynamiczne wzory kół.</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E</w:t>
        <w:noBreakHyphen/>
        <w:t xml:space="preserve">Tourneo Courier pojawi się również w nowej palecie wyrazistych lakierów, m.in. Cactus Grey, a także metalicznych Fantastic Red i Bursting Green. Modele serii Active odróżniają się opcjonalnym </w:t>
      </w:r>
      <w:r>
        <w:rPr>
          <w:rFonts w:cs="Arial" w:ascii="Arial" w:hAnsi="Arial"/>
          <w:b/>
          <w:bCs/>
          <w:lang w:val="pl-PL"/>
        </w:rPr>
        <w:t>kontrastowym lakierowaniem dachu</w:t>
      </w:r>
      <w:r>
        <w:rPr>
          <w:rFonts w:cs="Arial" w:ascii="Arial" w:hAnsi="Arial"/>
          <w:lang w:val="pl-PL"/>
        </w:rPr>
        <w:t xml:space="preserve"> – </w:t>
      </w:r>
      <w:r>
        <w:rPr>
          <w:rFonts w:eastAsia="Calibri" w:cs="Arial" w:ascii="Arial" w:hAnsi="Arial"/>
          <w:color w:val="auto"/>
          <w:kern w:val="0"/>
          <w:sz w:val="22"/>
          <w:szCs w:val="22"/>
          <w:lang w:val="pl-PL" w:eastAsia="en-US" w:bidi="ar-SA"/>
        </w:rPr>
        <w:t>co znamy z</w:t>
      </w:r>
      <w:r>
        <w:rPr>
          <w:rFonts w:cs="Arial" w:ascii="Arial" w:hAnsi="Arial"/>
          <w:lang w:val="pl-PL"/>
        </w:rPr>
        <w:t> ekstremaln</w:t>
      </w:r>
      <w:r>
        <w:rPr>
          <w:rFonts w:eastAsia="Calibri" w:cs="Arial" w:ascii="Arial" w:hAnsi="Arial"/>
          <w:color w:val="auto"/>
          <w:kern w:val="0"/>
          <w:sz w:val="22"/>
          <w:szCs w:val="22"/>
          <w:lang w:val="pl-PL" w:eastAsia="en-US" w:bidi="ar-SA"/>
        </w:rPr>
        <w:t>ego</w:t>
      </w:r>
      <w:r>
        <w:rPr>
          <w:rFonts w:cs="Arial" w:ascii="Arial" w:hAnsi="Arial"/>
          <w:lang w:val="pl-PL"/>
        </w:rPr>
        <w:t xml:space="preserve"> Ford</w:t>
      </w:r>
      <w:r>
        <w:rPr>
          <w:rFonts w:eastAsia="Calibri" w:cs="Arial" w:ascii="Arial" w:hAnsi="Arial"/>
          <w:color w:val="auto"/>
          <w:kern w:val="0"/>
          <w:sz w:val="22"/>
          <w:szCs w:val="22"/>
          <w:lang w:val="pl-PL" w:eastAsia="en-US" w:bidi="ar-SA"/>
        </w:rPr>
        <w:t>a</w:t>
      </w:r>
      <w:r>
        <w:rPr>
          <w:rFonts w:cs="Arial" w:ascii="Arial" w:hAnsi="Arial"/>
          <w:lang w:val="pl-PL"/>
        </w:rPr>
        <w:t xml:space="preserve"> Bronco – i są standardowo wyposażone w specjalne, 17-calowe obręcze kół, poprzeczki dachowe, wzmocnienia nadkoli, płyty ochronne i unikatowe tkaniny na siedzeniach, podkreślające przygodowy charakter tego modelu.  </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Podobnie jak nadwozie, także wnętrze E</w:t>
        <w:noBreakHyphen/>
        <w:t xml:space="preserve">Tourneo Courier charakteryzuje się </w:t>
      </w:r>
      <w:r>
        <w:rPr>
          <w:rFonts w:cs="Arial" w:ascii="Arial" w:hAnsi="Arial"/>
          <w:b/>
          <w:bCs/>
          <w:lang w:val="pl-PL"/>
        </w:rPr>
        <w:t xml:space="preserve">wyjątkowo bogatym wyposażeniem, podnoszącym </w:t>
      </w:r>
      <w:r>
        <w:rPr>
          <w:rFonts w:eastAsia="Calibri" w:cs="Arial" w:ascii="Arial" w:hAnsi="Arial"/>
          <w:b/>
          <w:bCs/>
          <w:color w:val="auto"/>
          <w:kern w:val="0"/>
          <w:sz w:val="22"/>
          <w:szCs w:val="22"/>
          <w:lang w:val="pl-PL" w:eastAsia="en-US" w:bidi="ar-SA"/>
        </w:rPr>
        <w:t>komfort</w:t>
      </w:r>
      <w:r>
        <w:rPr>
          <w:rFonts w:cs="Arial" w:ascii="Arial" w:hAnsi="Arial"/>
          <w:b/>
          <w:bCs/>
          <w:lang w:val="pl-PL"/>
        </w:rPr>
        <w:t xml:space="preserve"> podróżowania</w:t>
      </w:r>
      <w:r>
        <w:rPr>
          <w:rFonts w:cs="Arial" w:ascii="Arial" w:hAnsi="Arial"/>
          <w:lang w:val="pl-PL"/>
        </w:rPr>
        <w:t>. Strategia projektowania, oparta na kreowaniu doznań, wprowadza nowe, ulepszone elementy, charakterystyczne dla modelu w pełni elektrycznego:</w:t>
        <w:br/>
      </w:r>
    </w:p>
    <w:p>
      <w:pPr>
        <w:pStyle w:val="ListParagraph"/>
        <w:numPr>
          <w:ilvl w:val="0"/>
          <w:numId w:val="2"/>
        </w:numPr>
        <w:spacing w:lineRule="auto" w:line="240" w:before="0" w:after="0"/>
        <w:ind w:left="723" w:hanging="360"/>
        <w:contextualSpacing/>
        <w:rPr>
          <w:rFonts w:ascii="Arial" w:hAnsi="Arial" w:cs="Arial"/>
          <w:lang w:val="pl-PL"/>
        </w:rPr>
      </w:pPr>
      <w:r>
        <w:rPr>
          <w:rFonts w:cs="Arial" w:ascii="Arial" w:hAnsi="Arial"/>
          <w:lang w:val="pl-PL"/>
        </w:rPr>
        <w:t>Kierownica ze spłaszczonym dolnym i górnym łukiem wieńca typu “squircle”, poprawia widoczność i wygodę wsiadania</w:t>
      </w:r>
    </w:p>
    <w:p>
      <w:pPr>
        <w:pStyle w:val="ListParagraph"/>
        <w:numPr>
          <w:ilvl w:val="0"/>
          <w:numId w:val="2"/>
        </w:numPr>
        <w:spacing w:lineRule="auto" w:line="240" w:before="0" w:after="0"/>
        <w:ind w:left="723" w:hanging="360"/>
        <w:contextualSpacing/>
        <w:rPr>
          <w:rFonts w:ascii="Arial" w:hAnsi="Arial" w:cs="Arial"/>
          <w:lang w:val="pl-PL"/>
        </w:rPr>
      </w:pPr>
      <w:r>
        <w:rPr>
          <w:rFonts w:cs="Arial" w:ascii="Arial" w:hAnsi="Arial"/>
          <w:lang w:val="pl-PL"/>
        </w:rPr>
        <w:t>Nowy cyfrowy zestaw wskaźników „digiboard” z 12-calowym cyfrowym zestawem wskaźników i 12-calowy ekran dotykowy SYNC 4</w:t>
      </w:r>
      <w:r>
        <w:rPr>
          <w:rFonts w:cs="Arial" w:ascii="Arial" w:hAnsi="Arial"/>
          <w:vertAlign w:val="superscript"/>
          <w:lang w:val="pl-PL"/>
        </w:rPr>
        <w:t xml:space="preserve"> 2</w:t>
      </w:r>
    </w:p>
    <w:p>
      <w:pPr>
        <w:pStyle w:val="ListParagraph"/>
        <w:numPr>
          <w:ilvl w:val="0"/>
          <w:numId w:val="2"/>
        </w:numPr>
        <w:spacing w:lineRule="auto" w:line="240" w:before="0" w:after="0"/>
        <w:ind w:left="723" w:hanging="360"/>
        <w:contextualSpacing/>
        <w:rPr>
          <w:rFonts w:ascii="Arial" w:hAnsi="Arial" w:cs="Arial"/>
          <w:lang w:val="pl-PL"/>
        </w:rPr>
      </w:pPr>
      <w:r>
        <w:rPr>
          <w:rFonts w:cs="Arial" w:ascii="Arial" w:hAnsi="Arial"/>
          <w:lang w:val="pl-PL"/>
        </w:rPr>
        <w:t>„</w:t>
      </w:r>
      <w:r>
        <w:rPr>
          <w:rFonts w:cs="Arial" w:ascii="Arial" w:hAnsi="Arial"/>
          <w:lang w:val="pl-PL"/>
        </w:rPr>
        <w:t>Pływająca” konstrukcja deski rozdzielczej, zapewnia większą przestrzeń i widoczność</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 xml:space="preserve">Szeroko zakrojone konsultacje Forda z kierowcami ujawniły powszechną potrzebę </w:t>
      </w:r>
      <w:r>
        <w:rPr>
          <w:rFonts w:eastAsia="Calibri" w:cs="Arial" w:ascii="Arial" w:hAnsi="Arial"/>
          <w:color w:val="auto"/>
          <w:kern w:val="0"/>
          <w:sz w:val="22"/>
          <w:szCs w:val="22"/>
          <w:lang w:val="pl-PL" w:eastAsia="en-US" w:bidi="ar-SA"/>
        </w:rPr>
        <w:t>uzupełnienia rozwiązań służących do</w:t>
      </w:r>
      <w:r>
        <w:rPr>
          <w:rFonts w:cs="Arial" w:ascii="Arial" w:hAnsi="Arial"/>
          <w:lang w:val="pl-PL"/>
        </w:rPr>
        <w:t xml:space="preserve"> przechowywania i organizacji bagażu. </w:t>
      </w:r>
      <w:r>
        <w:rPr>
          <w:rFonts w:cs="Arial" w:ascii="Arial" w:hAnsi="Arial"/>
          <w:lang w:val="pl-PL"/>
        </w:rPr>
        <w:t>W</w:t>
      </w:r>
      <w:r>
        <w:rPr>
          <w:rFonts w:cs="Arial" w:ascii="Arial" w:hAnsi="Arial"/>
          <w:lang w:val="pl-PL"/>
        </w:rPr>
        <w:t> kabinie E</w:t>
        <w:noBreakHyphen/>
        <w:t>Tourneo Courier</w:t>
      </w:r>
      <w:r>
        <w:rPr>
          <w:rFonts w:cs="Arial" w:ascii="Arial" w:hAnsi="Arial"/>
          <w:lang w:val="pl-PL"/>
        </w:rPr>
        <w:t>a</w:t>
      </w:r>
      <w:r>
        <w:rPr>
          <w:rFonts w:cs="Arial" w:ascii="Arial" w:hAnsi="Arial"/>
          <w:lang w:val="pl-PL"/>
        </w:rPr>
        <w:t xml:space="preserve"> znalazły się:</w:t>
        <w:br/>
      </w:r>
    </w:p>
    <w:p>
      <w:pPr>
        <w:pStyle w:val="ListParagraph"/>
        <w:numPr>
          <w:ilvl w:val="0"/>
          <w:numId w:val="3"/>
        </w:numPr>
        <w:spacing w:lineRule="auto" w:line="240" w:before="0" w:after="0"/>
        <w:contextualSpacing/>
        <w:rPr>
          <w:rFonts w:ascii="Arial" w:hAnsi="Arial" w:cs="Arial"/>
          <w:lang w:val="pl-PL"/>
        </w:rPr>
      </w:pPr>
      <w:r>
        <w:rPr>
          <w:rFonts w:cs="Arial" w:ascii="Arial" w:hAnsi="Arial"/>
          <w:lang w:val="pl-PL"/>
        </w:rPr>
        <w:t>Oszczędzający miejsce elektryczny hamulec postojowy i dźwignia zmiany biegów montowana na kolumnie kierownicy</w:t>
      </w:r>
    </w:p>
    <w:p>
      <w:pPr>
        <w:pStyle w:val="ListParagraph"/>
        <w:numPr>
          <w:ilvl w:val="0"/>
          <w:numId w:val="3"/>
        </w:numPr>
        <w:spacing w:lineRule="auto" w:line="240" w:before="0" w:after="0"/>
        <w:contextualSpacing/>
        <w:rPr>
          <w:rFonts w:ascii="Arial" w:hAnsi="Arial" w:cs="Arial"/>
          <w:lang w:val="pl-PL"/>
        </w:rPr>
      </w:pPr>
      <w:r>
        <w:rPr>
          <w:rFonts w:cs="Arial" w:ascii="Arial" w:hAnsi="Arial"/>
          <w:lang w:val="pl-PL"/>
        </w:rPr>
        <w:t>Nowa, duża konsola środkowa z elastyczną organizacją schowków i wyjmowanymi elementami, aby łatwiej i bezpiecznie przechować przedmioty</w:t>
      </w:r>
    </w:p>
    <w:p>
      <w:pPr>
        <w:pStyle w:val="Normal"/>
        <w:spacing w:lineRule="auto" w:line="240" w:before="120" w:after="0"/>
        <w:rPr>
          <w:rFonts w:ascii="Arial" w:hAnsi="Arial" w:cs="Arial"/>
          <w:lang w:val="pl-PL"/>
        </w:rPr>
      </w:pPr>
      <w:r>
        <w:rPr>
          <w:rFonts w:cs="Arial" w:ascii="Arial" w:hAnsi="Arial"/>
          <w:lang w:val="pl-PL"/>
        </w:rPr>
      </w:r>
    </w:p>
    <w:p>
      <w:pPr>
        <w:pStyle w:val="Normal"/>
        <w:spacing w:lineRule="auto" w:line="240" w:before="0" w:after="0"/>
        <w:rPr>
          <w:rFonts w:ascii="Arial" w:hAnsi="Arial" w:cs="Arial"/>
          <w:b/>
          <w:b/>
          <w:bCs/>
          <w:lang w:val="pl-PL"/>
        </w:rPr>
      </w:pPr>
      <w:r>
        <w:rPr>
          <w:rFonts w:cs="Arial" w:ascii="Arial" w:hAnsi="Arial"/>
          <w:b/>
          <w:bCs/>
          <w:lang w:val="pl-PL"/>
        </w:rPr>
        <w:t>Inteligentne wykorzystanie przestrzeni</w:t>
      </w:r>
    </w:p>
    <w:p>
      <w:pPr>
        <w:pStyle w:val="Normal"/>
        <w:spacing w:lineRule="auto" w:line="240" w:before="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lang w:val="pl-PL"/>
        </w:rPr>
      </w:pPr>
      <w:r>
        <w:rPr>
          <w:rFonts w:cs="Arial" w:ascii="Arial" w:hAnsi="Arial"/>
          <w:lang w:val="pl-PL"/>
        </w:rPr>
        <w:t>Optymalizacja kształtu nadwozia oznacza, że wnętrze E</w:t>
        <w:noBreakHyphen/>
        <w:t>Tourneo Courier jest znacznie przestronniejsze i praktyczniejsze niż kabina poprzedniego modelu. Wzrosła przestrzeń nad głową i na poziomie ramion, dzięki czemu podróżowanie jest bardziej komfortowe.</w:t>
        <w:br/>
      </w:r>
    </w:p>
    <w:p>
      <w:pPr>
        <w:pStyle w:val="Normal"/>
        <w:spacing w:lineRule="auto" w:line="240" w:before="0" w:after="0"/>
        <w:rPr>
          <w:rFonts w:ascii="Arial" w:hAnsi="Arial" w:cs="Arial"/>
          <w:lang w:val="pl-PL"/>
        </w:rPr>
      </w:pPr>
      <w:r>
        <w:rPr>
          <w:rFonts w:cs="Arial" w:ascii="Arial" w:hAnsi="Arial"/>
          <w:lang w:val="pl-PL"/>
        </w:rPr>
        <w:t xml:space="preserve">Dłuższy i szerszy bagażnik </w:t>
      </w:r>
      <w:r>
        <w:rPr>
          <w:rFonts w:cs="Arial" w:ascii="Arial" w:hAnsi="Arial"/>
          <w:b/>
          <w:bCs/>
          <w:lang w:val="pl-PL"/>
        </w:rPr>
        <w:t>zwiększył pojemność o ponad 44 procent</w:t>
      </w:r>
      <w:r>
        <w:rPr>
          <w:rFonts w:cs="Arial" w:ascii="Arial" w:hAnsi="Arial"/>
          <w:lang w:val="pl-PL"/>
        </w:rPr>
        <w:t xml:space="preserve"> do 570 litrów.</w:t>
      </w:r>
      <w:r>
        <w:rPr>
          <w:rFonts w:cs="Arial" w:ascii="Arial" w:hAnsi="Arial"/>
          <w:vertAlign w:val="superscript"/>
          <w:lang w:val="pl-PL"/>
        </w:rPr>
        <w:t xml:space="preserve"> 3</w:t>
      </w:r>
      <w:r>
        <w:rPr>
          <w:rFonts w:cs="Arial" w:ascii="Arial" w:hAnsi="Arial"/>
          <w:lang w:val="pl-PL"/>
        </w:rPr>
        <w:t xml:space="preserve"> Nowy model może również przewozić o 100 kg więcej, niż pojazd poprzedniej generacji, dzięki czemu pięć osób może wyjechać na wakacje bez martwienia się o wagę bagażu. </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vertAlign w:val="superscript"/>
          <w:lang w:val="pl-PL"/>
        </w:rPr>
      </w:pPr>
      <w:r>
        <w:rPr>
          <w:rFonts w:cs="Arial" w:ascii="Arial" w:hAnsi="Arial"/>
          <w:lang w:val="pl-PL"/>
        </w:rPr>
        <w:t>Tylne siedzenia dzielą się w proporcji 60/40, mogą być łatwo składane i opuszczane w zależności od potrzeb klientów. Jeśli właściciele muszą przewieźć większe przedmioty, E</w:t>
        <w:noBreakHyphen/>
        <w:t>Tourneo Courier oferuje pokaźną przestrzeń bagażową o pojemności 2 162 litrów, przy opuszczonych tylnych siedzeniach, umieszczając bagaż aż do poziomu podsufitki – to wzrost o ponad 500 litrów.</w:t>
      </w:r>
      <w:r>
        <w:rPr>
          <w:rFonts w:cs="Arial" w:ascii="Arial" w:hAnsi="Arial"/>
          <w:vertAlign w:val="superscript"/>
          <w:lang w:val="pl-PL"/>
        </w:rPr>
        <w:t xml:space="preserve"> 4</w:t>
      </w:r>
    </w:p>
    <w:p>
      <w:pPr>
        <w:pStyle w:val="Normal"/>
        <w:spacing w:lineRule="auto" w:line="240" w:before="0" w:after="0"/>
        <w:rPr>
          <w:rFonts w:ascii="Arial" w:hAnsi="Arial" w:cs="Arial"/>
          <w:vertAlign w:val="superscript"/>
          <w:lang w:val="pl-PL"/>
        </w:rPr>
      </w:pPr>
      <w:r>
        <w:rPr/>
      </w:r>
    </w:p>
    <w:p>
      <w:pPr>
        <w:pStyle w:val="Normal"/>
        <w:spacing w:lineRule="auto" w:line="240" w:before="0" w:after="0"/>
        <w:rPr>
          <w:rFonts w:ascii="Arial" w:hAnsi="Arial" w:cs="Arial"/>
          <w:b/>
          <w:b/>
          <w:bCs/>
          <w:lang w:val="pl-PL"/>
        </w:rPr>
      </w:pPr>
      <w:r>
        <w:rPr>
          <w:rFonts w:cs="Arial" w:ascii="Arial" w:hAnsi="Arial"/>
          <w:b/>
          <w:bCs/>
          <w:lang w:val="pl-PL"/>
        </w:rPr>
      </w:r>
    </w:p>
    <w:tbl>
      <w:tblPr>
        <w:tblStyle w:val="TableGrid"/>
        <w:tblW w:w="901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937"/>
        <w:gridCol w:w="1666"/>
        <w:gridCol w:w="1822"/>
        <w:gridCol w:w="1585"/>
      </w:tblGrid>
      <w:tr>
        <w:trPr/>
        <w:tc>
          <w:tcPr>
            <w:tcW w:w="3937" w:type="dxa"/>
            <w:tcBorders/>
            <w:shd w:color="auto" w:fill="DEEAF6" w:themeFill="accent5" w:themeFillTint="33" w:val="clear"/>
          </w:tcPr>
          <w:p>
            <w:pPr>
              <w:pStyle w:val="Normal"/>
              <w:widowControl w:val="false"/>
              <w:spacing w:lineRule="auto" w:line="240" w:before="0" w:after="0"/>
              <w:jc w:val="center"/>
              <w:rPr>
                <w:rFonts w:ascii="Arial" w:hAnsi="Arial" w:cs="Arial"/>
                <w:b/>
                <w:b/>
                <w:bCs/>
                <w:vertAlign w:val="superscript"/>
                <w:lang w:val="pl-PL"/>
              </w:rPr>
            </w:pPr>
            <w:r>
              <w:rPr>
                <w:rFonts w:eastAsia="Calibri" w:cs="Arial" w:ascii="Arial" w:hAnsi="Arial"/>
                <w:b/>
                <w:bCs/>
                <w:kern w:val="0"/>
                <w:sz w:val="22"/>
                <w:szCs w:val="22"/>
                <w:lang w:val="pl-PL" w:eastAsia="en-US" w:bidi="ar-SA"/>
              </w:rPr>
              <w:t>Przestrzeń bagażowa</w:t>
            </w:r>
            <w:r>
              <w:rPr>
                <w:rFonts w:eastAsia="Calibri" w:cs="Arial" w:ascii="Arial" w:hAnsi="Arial"/>
                <w:b/>
                <w:bCs/>
                <w:kern w:val="0"/>
                <w:sz w:val="22"/>
                <w:szCs w:val="22"/>
                <w:vertAlign w:val="superscript"/>
                <w:lang w:val="pl-PL" w:eastAsia="en-US" w:bidi="ar-SA"/>
              </w:rPr>
              <w:t xml:space="preserve"> 4</w:t>
            </w:r>
          </w:p>
        </w:tc>
        <w:tc>
          <w:tcPr>
            <w:tcW w:w="1666" w:type="dxa"/>
            <w:tcBorders/>
            <w:shd w:color="auto" w:fill="DEEAF6" w:themeFill="accent5" w:themeFillTint="33" w:val="clear"/>
          </w:tcPr>
          <w:p>
            <w:pPr>
              <w:pStyle w:val="Normal"/>
              <w:widowControl w:val="false"/>
              <w:spacing w:lineRule="auto" w:line="240" w:before="0" w:after="0"/>
              <w:jc w:val="center"/>
              <w:rPr>
                <w:rFonts w:ascii="Arial" w:hAnsi="Arial" w:cs="Arial"/>
                <w:b/>
                <w:b/>
                <w:bCs/>
                <w:lang w:val="pl-PL"/>
              </w:rPr>
            </w:pPr>
            <w:r>
              <w:rPr>
                <w:rFonts w:eastAsia="Calibri" w:cs="Arial" w:ascii="Arial" w:hAnsi="Arial"/>
                <w:b/>
                <w:bCs/>
                <w:kern w:val="0"/>
                <w:sz w:val="22"/>
                <w:szCs w:val="22"/>
                <w:lang w:val="pl-PL" w:eastAsia="en-US" w:bidi="ar-SA"/>
              </w:rPr>
              <w:t>Poprzedni model</w:t>
            </w:r>
          </w:p>
        </w:tc>
        <w:tc>
          <w:tcPr>
            <w:tcW w:w="1822" w:type="dxa"/>
            <w:tcBorders/>
            <w:shd w:color="auto" w:fill="DEEAF6" w:themeFill="accent5" w:themeFillTint="33" w:val="clear"/>
          </w:tcPr>
          <w:p>
            <w:pPr>
              <w:pStyle w:val="Normal"/>
              <w:widowControl w:val="false"/>
              <w:spacing w:lineRule="auto" w:line="240" w:before="0" w:after="0"/>
              <w:jc w:val="center"/>
              <w:rPr>
                <w:rFonts w:ascii="Arial" w:hAnsi="Arial" w:cs="Arial"/>
                <w:b/>
                <w:b/>
                <w:bCs/>
                <w:lang w:val="pl-PL"/>
              </w:rPr>
            </w:pPr>
            <w:r>
              <w:rPr>
                <w:rFonts w:eastAsia="Calibri" w:cs="Arial" w:ascii="Arial" w:hAnsi="Arial"/>
                <w:b/>
                <w:bCs/>
                <w:kern w:val="0"/>
                <w:sz w:val="22"/>
                <w:szCs w:val="22"/>
                <w:lang w:val="pl-PL" w:eastAsia="en-US" w:bidi="ar-SA"/>
              </w:rPr>
              <w:t>E</w:t>
              <w:noBreakHyphen/>
              <w:t>Tourneo Courier</w:t>
            </w:r>
          </w:p>
        </w:tc>
        <w:tc>
          <w:tcPr>
            <w:tcW w:w="1585" w:type="dxa"/>
            <w:tcBorders/>
            <w:shd w:color="auto" w:fill="DEEAF6" w:themeFill="accent5" w:themeFillTint="33" w:val="clear"/>
          </w:tcPr>
          <w:p>
            <w:pPr>
              <w:pStyle w:val="Normal"/>
              <w:widowControl w:val="false"/>
              <w:spacing w:lineRule="auto" w:line="240" w:before="0" w:after="0"/>
              <w:jc w:val="center"/>
              <w:rPr>
                <w:rFonts w:ascii="Arial" w:hAnsi="Arial" w:cs="Arial"/>
                <w:b/>
                <w:b/>
                <w:bCs/>
                <w:lang w:val="pl-PL"/>
              </w:rPr>
            </w:pPr>
            <w:r>
              <w:rPr>
                <w:rFonts w:eastAsia="Calibri" w:cs="Arial" w:ascii="Arial" w:hAnsi="Arial"/>
                <w:b/>
                <w:bCs/>
                <w:kern w:val="0"/>
                <w:sz w:val="22"/>
                <w:szCs w:val="22"/>
                <w:lang w:val="pl-PL" w:eastAsia="en-US" w:bidi="ar-SA"/>
              </w:rPr>
              <w:t>Więcej o:</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lang w:val="pl-PL"/>
              </w:rPr>
            </w:pPr>
            <w:r>
              <w:rPr>
                <w:rFonts w:eastAsia="Calibri" w:cs="Arial" w:ascii="Arial" w:hAnsi="Arial"/>
                <w:kern w:val="0"/>
                <w:sz w:val="22"/>
                <w:szCs w:val="22"/>
                <w:lang w:val="pl-PL" w:eastAsia="en-US" w:bidi="ar-SA"/>
              </w:rPr>
              <w:t>Długość – konfiguracja z pięcioma siedzeniami (mm)</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837</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1 002</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165</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lang w:val="pl-PL"/>
              </w:rPr>
            </w:pPr>
            <w:r>
              <w:rPr>
                <w:rFonts w:eastAsia="Calibri" w:cs="Arial" w:ascii="Arial" w:hAnsi="Arial"/>
                <w:kern w:val="0"/>
                <w:sz w:val="22"/>
                <w:szCs w:val="22"/>
                <w:lang w:val="pl-PL" w:eastAsia="en-US" w:bidi="ar-SA"/>
              </w:rPr>
              <w:t>Długość – złożone tylne siedzenia (mm)</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1 264</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1 429</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165</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lang w:val="pl-PL"/>
              </w:rPr>
            </w:pPr>
            <w:r>
              <w:rPr>
                <w:rFonts w:eastAsia="Calibri" w:cs="Arial" w:ascii="Arial" w:hAnsi="Arial"/>
                <w:kern w:val="0"/>
                <w:sz w:val="22"/>
                <w:szCs w:val="22"/>
                <w:lang w:val="pl-PL" w:eastAsia="en-US" w:bidi="ar-SA"/>
              </w:rPr>
              <w:t>Szerokość między nadkolami (mm)</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983</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1 172</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189</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lang w:val="pl-PL"/>
              </w:rPr>
            </w:pPr>
            <w:r>
              <w:rPr>
                <w:rFonts w:eastAsia="Calibri" w:cs="Arial" w:ascii="Arial" w:hAnsi="Arial"/>
                <w:kern w:val="0"/>
                <w:sz w:val="22"/>
                <w:szCs w:val="22"/>
                <w:lang w:val="pl-PL" w:eastAsia="en-US" w:bidi="ar-SA"/>
              </w:rPr>
              <w:t>Wysokość od podłogi do dachu (mm)</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1 171</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1 216</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45</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lang w:val="pl-PL"/>
              </w:rPr>
            </w:pPr>
            <w:r>
              <w:rPr>
                <w:rFonts w:eastAsia="Calibri" w:cs="Arial" w:ascii="Arial" w:hAnsi="Arial"/>
                <w:kern w:val="0"/>
                <w:sz w:val="22"/>
                <w:szCs w:val="22"/>
                <w:lang w:val="pl-PL" w:eastAsia="en-US" w:bidi="ar-SA"/>
              </w:rPr>
              <w:t>Pojemność – konfiguracja pięcioosobowa (litry) (pomiar VDA)</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395 (708 –  pod sufit)</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570 (1 188 –  pod sufit)</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175 (480 –  pod sufit)</w:t>
            </w:r>
          </w:p>
        </w:tc>
      </w:tr>
      <w:tr>
        <w:trPr/>
        <w:tc>
          <w:tcPr>
            <w:tcW w:w="3937" w:type="dxa"/>
            <w:tcBorders/>
            <w:shd w:color="auto" w:fill="FFFFFF" w:themeFill="background1" w:val="clear"/>
          </w:tcPr>
          <w:p>
            <w:pPr>
              <w:pStyle w:val="Normal"/>
              <w:widowControl w:val="false"/>
              <w:spacing w:lineRule="auto" w:line="240" w:before="0" w:after="0"/>
              <w:jc w:val="left"/>
              <w:rPr>
                <w:rFonts w:ascii="Arial" w:hAnsi="Arial" w:cs="Arial"/>
                <w:vertAlign w:val="superscript"/>
                <w:lang w:val="pl-PL"/>
              </w:rPr>
            </w:pPr>
            <w:r>
              <w:rPr>
                <w:rFonts w:eastAsia="Calibri" w:cs="Arial" w:ascii="Arial" w:hAnsi="Arial"/>
                <w:kern w:val="0"/>
                <w:sz w:val="22"/>
                <w:szCs w:val="22"/>
                <w:lang w:val="pl-PL" w:eastAsia="en-US" w:bidi="ar-SA"/>
              </w:rPr>
              <w:t>Pojemność – złożone tylne siedzenia (litry) (pomiar VDA)</w:t>
            </w:r>
          </w:p>
        </w:tc>
        <w:tc>
          <w:tcPr>
            <w:tcW w:w="1666"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875 (1 656 –  pod sufit)</w:t>
            </w:r>
          </w:p>
        </w:tc>
        <w:tc>
          <w:tcPr>
            <w:tcW w:w="1822"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1 198 (2 162 –  pod sufit)</w:t>
            </w:r>
          </w:p>
        </w:tc>
        <w:tc>
          <w:tcPr>
            <w:tcW w:w="1585" w:type="dxa"/>
            <w:tcBorders/>
            <w:shd w:color="auto" w:fill="FFFFFF" w:themeFill="background1" w:val="clear"/>
          </w:tcPr>
          <w:p>
            <w:pPr>
              <w:pStyle w:val="Normal"/>
              <w:widowControl w:val="false"/>
              <w:spacing w:lineRule="auto" w:line="240" w:before="0" w:after="0"/>
              <w:jc w:val="center"/>
              <w:rPr>
                <w:rFonts w:ascii="Arial" w:hAnsi="Arial" w:cs="Arial"/>
                <w:lang w:val="pl-PL"/>
              </w:rPr>
            </w:pPr>
            <w:r>
              <w:rPr>
                <w:rFonts w:eastAsia="Calibri" w:cs="Arial" w:ascii="Arial" w:hAnsi="Arial"/>
                <w:kern w:val="0"/>
                <w:sz w:val="22"/>
                <w:szCs w:val="22"/>
                <w:lang w:val="pl-PL" w:eastAsia="en-US" w:bidi="ar-SA"/>
              </w:rPr>
              <w:t>323 (506 –  pod sufit)</w:t>
            </w:r>
          </w:p>
        </w:tc>
      </w:tr>
    </w:tbl>
    <w:p>
      <w:pPr>
        <w:pStyle w:val="BodyText2"/>
        <w:spacing w:lineRule="auto" w:line="240"/>
        <w:rPr>
          <w:rFonts w:ascii="Arial" w:hAnsi="Arial" w:cs="Arial"/>
          <w:sz w:val="22"/>
          <w:szCs w:val="22"/>
          <w:lang w:val="pl-PL"/>
        </w:rPr>
      </w:pPr>
      <w:r>
        <w:rPr>
          <w:rFonts w:cs="Arial" w:ascii="Arial" w:hAnsi="Arial"/>
          <w:sz w:val="22"/>
          <w:szCs w:val="22"/>
          <w:lang w:val="pl-PL"/>
        </w:rPr>
      </w:r>
    </w:p>
    <w:p>
      <w:pPr>
        <w:pStyle w:val="BodyText2"/>
        <w:spacing w:lineRule="auto" w:line="240"/>
        <w:rPr>
          <w:rFonts w:ascii="Arial" w:hAnsi="Arial" w:cs="Arial"/>
          <w:bCs/>
          <w:sz w:val="22"/>
          <w:szCs w:val="22"/>
          <w:lang w:val="pl-PL"/>
        </w:rPr>
      </w:pPr>
      <w:r>
        <w:rPr>
          <w:rFonts w:cs="Arial" w:ascii="Arial" w:hAnsi="Arial"/>
          <w:bCs/>
          <w:sz w:val="22"/>
          <w:szCs w:val="22"/>
          <w:lang w:val="pl-PL"/>
        </w:rPr>
        <w:t>Standardowa klapa tylna może zapewnić schronienie przed deszczem, gdy jest otwarta, a duży otwór załadunkowy i niski próg bardzo ułatwiają pakowanie sprzętu rekreacyjnego lub wskakiwanie psów do wnętrza bagażnika. Przedział bagażowy posiada poręczne schowki w bocznych panelach, między innymi odchylany schowek, w którym można przewozić zamknięte większe przedmioty.</w:t>
      </w:r>
    </w:p>
    <w:p>
      <w:pPr>
        <w:pStyle w:val="Normal"/>
        <w:spacing w:lineRule="auto" w:line="240" w:before="0" w:after="0"/>
        <w:rPr>
          <w:rFonts w:ascii="Arial" w:hAnsi="Arial" w:cs="Arial"/>
          <w:lang w:val="pl-PL"/>
        </w:rPr>
      </w:pPr>
      <w:r>
        <w:rPr>
          <w:rFonts w:cs="Arial" w:ascii="Arial" w:hAnsi="Arial"/>
          <w:lang w:val="pl-PL"/>
        </w:rPr>
      </w:r>
    </w:p>
    <w:p>
      <w:pPr>
        <w:pStyle w:val="BodyText2"/>
        <w:spacing w:lineRule="auto" w:line="240"/>
        <w:rPr>
          <w:rFonts w:ascii="Arial" w:hAnsi="Arial" w:cs="Arial"/>
          <w:sz w:val="22"/>
          <w:szCs w:val="22"/>
          <w:lang w:val="pl-PL"/>
        </w:rPr>
      </w:pPr>
      <w:r>
        <w:rPr>
          <w:rFonts w:cs="Arial" w:ascii="Arial" w:hAnsi="Arial"/>
          <w:sz w:val="22"/>
          <w:szCs w:val="22"/>
          <w:lang w:val="pl-PL"/>
        </w:rPr>
        <w:t>44-litrowy bagażnik przedni (frunk) jest standardem we wszystkich modelach E</w:t>
        <w:noBreakHyphen/>
        <w:t xml:space="preserve">Tourneo Couriera i idealnie nadaje się do przechowywania drobnych przedmiotów, takich jak przewody do ładowania, trójkąt ostrzegawczy, czy apteczka. </w:t>
      </w:r>
    </w:p>
    <w:p>
      <w:pPr>
        <w:pStyle w:val="BodyText2"/>
        <w:spacing w:lineRule="auto" w:line="240"/>
        <w:rPr>
          <w:rFonts w:ascii="Arial" w:hAnsi="Arial" w:cs="Arial"/>
          <w:sz w:val="22"/>
          <w:szCs w:val="22"/>
          <w:lang w:val="pl-PL"/>
        </w:rPr>
      </w:pPr>
      <w:r>
        <w:rPr>
          <w:rFonts w:cs="Arial" w:ascii="Arial" w:hAnsi="Arial"/>
          <w:sz w:val="22"/>
          <w:szCs w:val="22"/>
          <w:lang w:val="pl-PL"/>
        </w:rPr>
      </w:r>
    </w:p>
    <w:p>
      <w:pPr>
        <w:pStyle w:val="BodyText2"/>
        <w:spacing w:lineRule="auto" w:line="240"/>
        <w:rPr>
          <w:rFonts w:eastAsia="" w:eastAsiaTheme="minorHAnsi"/>
          <w:lang w:val="pl-PL"/>
        </w:rPr>
      </w:pPr>
      <w:r>
        <w:rPr>
          <w:rFonts w:cs="Arial" w:ascii="Arial" w:hAnsi="Arial"/>
          <w:sz w:val="22"/>
          <w:szCs w:val="22"/>
          <w:lang w:val="pl-PL"/>
        </w:rPr>
        <w:t>Dopuszczalna masa holowanej przez E</w:t>
        <w:noBreakHyphen/>
        <w:t>Tourneo Couriera przyczepy wynosi 700 kg</w:t>
      </w:r>
      <w:r>
        <w:rPr>
          <w:rFonts w:cs="Arial" w:ascii="Arial" w:hAnsi="Arial"/>
          <w:sz w:val="22"/>
          <w:szCs w:val="22"/>
          <w:vertAlign w:val="superscript"/>
          <w:lang w:val="pl-PL"/>
        </w:rPr>
        <w:t>5</w:t>
      </w:r>
      <w:r>
        <w:rPr>
          <w:rFonts w:cs="Arial" w:ascii="Arial" w:hAnsi="Arial"/>
          <w:sz w:val="22"/>
          <w:szCs w:val="22"/>
          <w:lang w:val="pl-PL"/>
        </w:rPr>
        <w:t>, co pozwala klientom na holowanie pontonów lub przyczepki z narzędziami do robót budowlanych i ogrodniczych. Hak holowniczy i 13-pinowe złącze elektryczne są dostępne jako wyposażenie opcjonalne. Tourneo Courier napędzany silnikiem benzynowym EcoBoost może holować do 1 000 kg.</w:t>
      </w:r>
      <w:r>
        <w:rPr>
          <w:rFonts w:cs="Arial" w:ascii="Arial" w:hAnsi="Arial"/>
          <w:sz w:val="22"/>
          <w:szCs w:val="22"/>
          <w:vertAlign w:val="superscript"/>
          <w:lang w:val="pl-PL"/>
        </w:rPr>
        <w:t xml:space="preserve"> 4</w:t>
      </w:r>
    </w:p>
    <w:p>
      <w:pPr>
        <w:pStyle w:val="Normal"/>
        <w:spacing w:lineRule="auto" w:line="240" w:before="120" w:after="0"/>
        <w:rPr>
          <w:rFonts w:ascii="Arial" w:hAnsi="Arial" w:cs="Arial"/>
          <w:b/>
          <w:b/>
          <w:bCs/>
          <w:lang w:val="pl-PL"/>
        </w:rPr>
      </w:pPr>
      <w:r>
        <w:rPr>
          <w:rFonts w:cs="Arial" w:ascii="Arial" w:hAnsi="Arial"/>
          <w:b/>
          <w:bCs/>
          <w:lang w:val="pl-PL"/>
        </w:rPr>
        <w:br/>
        <w:t>Oszczędny układ napędowy nowej generacji</w:t>
      </w:r>
    </w:p>
    <w:p>
      <w:pPr>
        <w:pStyle w:val="Normal"/>
        <w:spacing w:lineRule="auto" w:line="240" w:before="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lang w:val="pl-PL"/>
        </w:rPr>
      </w:pPr>
      <w:r>
        <w:rPr>
          <w:rFonts w:cs="Arial" w:ascii="Arial" w:hAnsi="Arial"/>
          <w:b/>
          <w:bCs/>
          <w:lang w:val="pl-PL"/>
        </w:rPr>
        <w:t>Nowy elektryczny układ napędowy</w:t>
      </w:r>
      <w:r>
        <w:rPr>
          <w:rFonts w:cs="Arial" w:ascii="Arial" w:hAnsi="Arial"/>
          <w:lang w:val="pl-PL"/>
        </w:rPr>
        <w:t xml:space="preserve"> E</w:t>
        <w:noBreakHyphen/>
        <w:t>Tourneo Couriera gwarantuje wyższą satysfakcję z prowadzenia samochodu, dzięki cichej, płynnej jeździe bez zmian przełożeń i intuicyjnej kontroli, dzięki czemu podróże są naprawdę relaksujące. Model korzysta ze wsparcia specjalnych zintegrowanych usług ładowania i oprogramowania, które pomagają zarówno początkującym, jak i doświadczonym właścicielom w radzeniu sobie z obsługą modelu elektrycznego. Wyposażenie i funkcje modelu:</w:t>
      </w:r>
    </w:p>
    <w:p>
      <w:pPr>
        <w:pStyle w:val="Normal"/>
        <w:spacing w:lineRule="auto" w:line="240" w:before="0" w:after="0"/>
        <w:rPr>
          <w:rFonts w:ascii="Arial" w:hAnsi="Arial" w:cs="Arial"/>
          <w:lang w:val="pl-PL"/>
        </w:rPr>
      </w:pPr>
      <w:r>
        <w:rPr>
          <w:rFonts w:cs="Arial" w:ascii="Arial" w:hAnsi="Arial"/>
          <w:lang w:val="pl-PL"/>
        </w:rPr>
      </w:r>
    </w:p>
    <w:p>
      <w:pPr>
        <w:pStyle w:val="ListParagraph"/>
        <w:numPr>
          <w:ilvl w:val="0"/>
          <w:numId w:val="4"/>
        </w:numPr>
        <w:spacing w:lineRule="auto" w:line="240" w:before="0" w:after="0"/>
        <w:contextualSpacing/>
        <w:rPr>
          <w:rFonts w:ascii="Arial" w:hAnsi="Arial" w:cs="Arial"/>
          <w:lang w:val="pl-PL"/>
        </w:rPr>
      </w:pPr>
      <w:r>
        <w:rPr>
          <w:rFonts w:cs="Arial" w:ascii="Arial" w:hAnsi="Arial"/>
          <w:lang w:val="pl-PL"/>
        </w:rPr>
        <w:t>Silnik elektryczny 100 kW (136 KM)</w:t>
      </w:r>
    </w:p>
    <w:p>
      <w:pPr>
        <w:pStyle w:val="ListParagraph"/>
        <w:numPr>
          <w:ilvl w:val="0"/>
          <w:numId w:val="4"/>
        </w:numPr>
        <w:spacing w:lineRule="auto" w:line="240" w:before="0" w:after="0"/>
        <w:contextualSpacing/>
        <w:rPr>
          <w:rFonts w:ascii="Arial" w:hAnsi="Arial" w:cs="Arial"/>
          <w:lang w:val="pl-PL"/>
        </w:rPr>
      </w:pPr>
      <w:r>
        <w:rPr>
          <w:rFonts w:cs="Arial" w:ascii="Arial" w:hAnsi="Arial"/>
          <w:lang w:val="pl-PL"/>
        </w:rPr>
        <w:t>Ładowarka pokładowa prądu zmiennego 11 kW – od 10 do 100 procent w 5,7 godziny</w:t>
      </w:r>
      <w:r>
        <w:rPr>
          <w:rFonts w:cs="Arial" w:ascii="Arial" w:hAnsi="Arial"/>
          <w:vertAlign w:val="superscript"/>
          <w:lang w:val="pl-PL"/>
        </w:rPr>
        <w:t xml:space="preserve"> 6</w:t>
      </w:r>
    </w:p>
    <w:p>
      <w:pPr>
        <w:pStyle w:val="ListParagraph"/>
        <w:numPr>
          <w:ilvl w:val="0"/>
          <w:numId w:val="4"/>
        </w:numPr>
        <w:spacing w:lineRule="auto" w:line="240" w:before="0" w:after="0"/>
        <w:contextualSpacing/>
        <w:rPr>
          <w:rFonts w:ascii="Arial" w:hAnsi="Arial" w:cs="Arial"/>
          <w:lang w:val="pl-PL"/>
        </w:rPr>
      </w:pPr>
      <w:r>
        <w:rPr>
          <w:rFonts w:cs="Arial" w:ascii="Arial" w:hAnsi="Arial"/>
          <w:lang w:val="pl-PL"/>
        </w:rPr>
        <w:t xml:space="preserve">Szybkie ładowanie prądem stałym 100 kW – od 10 do 80 procent </w:t>
      </w:r>
      <w:r>
        <w:rPr>
          <w:rFonts w:cs="Arial" w:ascii="Arial" w:hAnsi="Arial"/>
          <w:lang w:val="pl-PL"/>
        </w:rPr>
        <w:t xml:space="preserve">trwa </w:t>
      </w:r>
      <w:r>
        <w:rPr>
          <w:rFonts w:eastAsia="Calibri" w:cs="Arial" w:ascii="Arial" w:hAnsi="Arial"/>
          <w:color w:val="auto"/>
          <w:kern w:val="0"/>
          <w:sz w:val="22"/>
          <w:szCs w:val="22"/>
          <w:lang w:val="pl-PL" w:eastAsia="en-US" w:bidi="ar-SA"/>
        </w:rPr>
        <w:t>poniżej</w:t>
      </w:r>
      <w:r>
        <w:rPr>
          <w:rFonts w:cs="Arial" w:ascii="Arial" w:hAnsi="Arial"/>
          <w:lang w:val="pl-PL"/>
        </w:rPr>
        <w:t xml:space="preserve"> 35 minut</w:t>
      </w:r>
      <w:r>
        <w:rPr>
          <w:rFonts w:cs="Arial" w:ascii="Arial" w:hAnsi="Arial"/>
          <w:vertAlign w:val="superscript"/>
          <w:lang w:val="pl-PL"/>
        </w:rPr>
        <w:t xml:space="preserve"> 6</w:t>
      </w:r>
    </w:p>
    <w:p>
      <w:pPr>
        <w:pStyle w:val="ListParagraph"/>
        <w:numPr>
          <w:ilvl w:val="0"/>
          <w:numId w:val="4"/>
        </w:numPr>
        <w:spacing w:lineRule="auto" w:line="240" w:before="0" w:after="0"/>
        <w:contextualSpacing/>
        <w:rPr>
          <w:rFonts w:ascii="Arial" w:hAnsi="Arial" w:cs="Arial"/>
          <w:lang w:val="pl-PL"/>
        </w:rPr>
      </w:pPr>
      <w:r>
        <w:rPr>
          <w:rFonts w:cs="Arial" w:ascii="Arial" w:hAnsi="Arial"/>
          <w:lang w:val="pl-PL"/>
        </w:rPr>
        <w:t>Osiągnięcie dodatkowych 87 km zasięgu w zaledwie 10 minut, przy korzystaniu z ładowarki prądu stałego 100 kW</w:t>
      </w:r>
      <w:r>
        <w:rPr>
          <w:rFonts w:cs="Arial" w:ascii="Arial" w:hAnsi="Arial"/>
          <w:vertAlign w:val="superscript"/>
          <w:lang w:val="pl-PL"/>
        </w:rPr>
        <w:t xml:space="preserve"> 6</w:t>
      </w:r>
    </w:p>
    <w:p>
      <w:pPr>
        <w:pStyle w:val="ListParagraph"/>
        <w:numPr>
          <w:ilvl w:val="0"/>
          <w:numId w:val="4"/>
        </w:numPr>
        <w:spacing w:lineRule="auto" w:line="240" w:before="0" w:after="0"/>
        <w:contextualSpacing/>
        <w:rPr>
          <w:rFonts w:ascii="Arial" w:hAnsi="Arial" w:cs="Arial"/>
          <w:lang w:val="pl-PL"/>
        </w:rPr>
      </w:pPr>
      <w:r>
        <w:rPr>
          <w:rFonts w:cs="Arial" w:ascii="Arial" w:hAnsi="Arial"/>
          <w:lang w:val="pl-PL"/>
        </w:rPr>
        <w:t>Prędkość maksymalna na autostradzie 145 km/h</w:t>
      </w:r>
    </w:p>
    <w:p>
      <w:pPr>
        <w:pStyle w:val="Normal"/>
        <w:spacing w:lineRule="auto" w:line="240" w:before="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lang w:val="pl-PL"/>
        </w:rPr>
        <w:t>Dla ułatwienia i zwiększenia ekonomiki jazdy w zatłoczonych miastach model wyposażony jest standardowo w załączany system «one-pedal». Model oferuje rozruchowe programowanie klimatyzacji (Scheduled Pre-Conditioning), które pozwala zdalnie ustawić optymalną temperaturę w kabinie i temperaturę pracy akumulatora podczas ładowania przed wyjazdem,a tym samym zmaksymalizować zasięg i komfort obsługi samochodu. System jest programowany za pomocą ekranu dotykowego SYNC 4.</w:t>
      </w:r>
      <w:r>
        <w:rPr>
          <w:rFonts w:cs="Arial" w:ascii="Arial" w:hAnsi="Arial"/>
          <w:vertAlign w:val="superscript"/>
          <w:lang w:val="pl-PL"/>
        </w:rPr>
        <w:t xml:space="preserve"> 2</w:t>
      </w:r>
    </w:p>
    <w:p>
      <w:pPr>
        <w:pStyle w:val="Normal"/>
        <w:spacing w:lineRule="auto" w:line="240" w:before="120" w:after="0"/>
        <w:rPr>
          <w:rFonts w:ascii="Arial" w:hAnsi="Arial" w:cs="Arial"/>
          <w:lang w:val="pl-PL"/>
        </w:rPr>
      </w:pPr>
      <w:r>
        <w:rPr>
          <w:rFonts w:cs="Arial" w:ascii="Arial" w:hAnsi="Arial"/>
          <w:lang w:val="pl-PL"/>
        </w:rPr>
      </w:r>
    </w:p>
    <w:p>
      <w:pPr>
        <w:pStyle w:val="Normal"/>
        <w:spacing w:lineRule="auto" w:line="240" w:before="0" w:after="0"/>
        <w:rPr>
          <w:rFonts w:ascii="Arial" w:hAnsi="Arial" w:cs="Arial"/>
          <w:b/>
          <w:b/>
          <w:bCs/>
          <w:lang w:val="pl-PL"/>
        </w:rPr>
      </w:pPr>
      <w:r>
        <w:rPr>
          <w:rFonts w:cs="Arial" w:ascii="Arial" w:hAnsi="Arial"/>
          <w:b/>
          <w:bCs/>
          <w:lang w:val="pl-PL"/>
        </w:rPr>
        <w:t>Poczucie cyfrowego komfortu i funkcje powiązane z komunikacją sieciową</w:t>
      </w:r>
    </w:p>
    <w:p>
      <w:pPr>
        <w:pStyle w:val="Normal"/>
        <w:spacing w:lineRule="auto" w:line="240" w:before="0" w:after="0"/>
        <w:rPr>
          <w:rFonts w:ascii="Arial" w:hAnsi="Arial" w:cs="Arial"/>
          <w:lang w:val="pl-PL"/>
        </w:rPr>
      </w:pPr>
      <w:r>
        <w:rPr>
          <w:rFonts w:cs="Arial" w:ascii="Arial" w:hAnsi="Arial"/>
          <w:lang w:val="pl-PL"/>
        </w:rPr>
      </w:r>
    </w:p>
    <w:p>
      <w:pPr>
        <w:pStyle w:val="BodyText2"/>
        <w:spacing w:lineRule="auto" w:line="240"/>
        <w:rPr>
          <w:rFonts w:ascii="Arial" w:hAnsi="Arial" w:cs="Arial"/>
          <w:sz w:val="22"/>
          <w:szCs w:val="22"/>
          <w:lang w:val="pl-PL"/>
        </w:rPr>
      </w:pPr>
      <w:r>
        <w:rPr>
          <w:rFonts w:cs="Arial" w:ascii="Arial" w:hAnsi="Arial"/>
          <w:sz w:val="22"/>
          <w:szCs w:val="22"/>
          <w:lang w:val="pl-PL"/>
        </w:rPr>
        <w:t>Ford zaoferuje wyjątkowe poczucie cyfrowego komfortu, aby zwiększyć satysfakcję z posiadania E-Tourneo Courier</w:t>
      </w:r>
      <w:r>
        <w:rPr>
          <w:rFonts w:cs="Arial" w:ascii="Arial" w:hAnsi="Arial"/>
          <w:sz w:val="22"/>
          <w:szCs w:val="22"/>
          <w:lang w:val="pl-PL"/>
        </w:rPr>
        <w:t xml:space="preserve">a </w:t>
      </w:r>
      <w:r>
        <w:rPr>
          <w:rFonts w:cs="Arial" w:ascii="Arial" w:hAnsi="Arial"/>
          <w:sz w:val="22"/>
          <w:szCs w:val="22"/>
          <w:lang w:val="pl-PL"/>
        </w:rPr>
        <w:t>i wesprzeć klientów debiutujących w roli właścicieli pojazdów elektrycznych. Standardowo wbudowany modem</w:t>
      </w:r>
      <w:r>
        <w:rPr>
          <w:rFonts w:cs="Arial" w:ascii="Arial" w:hAnsi="Arial"/>
          <w:sz w:val="22"/>
          <w:szCs w:val="22"/>
          <w:vertAlign w:val="superscript"/>
          <w:lang w:val="pl-PL"/>
        </w:rPr>
        <w:t xml:space="preserve"> 7 </w:t>
      </w:r>
      <w:r>
        <w:rPr>
          <w:rFonts w:cs="Arial" w:ascii="Arial" w:hAnsi="Arial"/>
          <w:position w:val="0"/>
          <w:sz w:val="22"/>
          <w:sz w:val="22"/>
          <w:szCs w:val="22"/>
          <w:vertAlign w:val="baseline"/>
          <w:lang w:val="pl-PL"/>
        </w:rPr>
        <w:t xml:space="preserve">pozwala na stałe komunikowanie się ze światem, ułatwiając nadzór nad ładowaniem, serwisowaniem i ochroną pojazdu, umożliwia także bezprzewodowe aktualizacje oprogramowania, które mogą z czasem udoskonalać funkcje pojazdu. </w:t>
      </w:r>
    </w:p>
    <w:p>
      <w:pPr>
        <w:pStyle w:val="BodyText2"/>
        <w:spacing w:lineRule="auto" w:line="240"/>
        <w:rPr>
          <w:rFonts w:ascii="Arial" w:hAnsi="Arial" w:cs="Arial"/>
          <w:sz w:val="22"/>
          <w:szCs w:val="22"/>
          <w:lang w:val="pl-PL"/>
        </w:rPr>
      </w:pPr>
      <w:r>
        <w:rPr>
          <w:rFonts w:cs="Arial" w:ascii="Arial" w:hAnsi="Arial"/>
          <w:sz w:val="22"/>
          <w:szCs w:val="22"/>
          <w:lang w:val="pl-PL"/>
        </w:rPr>
      </w:r>
    </w:p>
    <w:p>
      <w:pPr>
        <w:pStyle w:val="BodyText2"/>
        <w:spacing w:lineRule="auto" w:line="240"/>
        <w:rPr>
          <w:rFonts w:ascii="Arial" w:hAnsi="Arial" w:cs="Arial"/>
          <w:sz w:val="22"/>
          <w:szCs w:val="22"/>
          <w:lang w:val="pl-PL"/>
        </w:rPr>
      </w:pPr>
      <w:r>
        <w:rPr>
          <w:rFonts w:cs="Arial" w:ascii="Arial" w:hAnsi="Arial"/>
          <w:sz w:val="22"/>
          <w:szCs w:val="22"/>
          <w:lang w:val="pl-PL"/>
        </w:rPr>
        <w:t xml:space="preserve">Oferowana jako opcja </w:t>
      </w:r>
      <w:r>
        <w:rPr>
          <w:rFonts w:cs="Arial" w:ascii="Arial" w:hAnsi="Arial"/>
          <w:sz w:val="22"/>
          <w:szCs w:val="22"/>
          <w:lang w:val="pl-PL"/>
        </w:rPr>
        <w:t xml:space="preserve">skomunikowana </w:t>
      </w:r>
      <w:r>
        <w:rPr>
          <w:rFonts w:cs="Arial" w:ascii="Arial" w:hAnsi="Arial"/>
          <w:sz w:val="22"/>
          <w:szCs w:val="22"/>
          <w:lang w:val="pl-PL"/>
        </w:rPr>
        <w:t>ładowarka naścienna Connected Wallbox Forda może ładować E</w:t>
        <w:noBreakHyphen/>
        <w:t xml:space="preserve">Tourneo Couriera z większą prędkością, niż gdybyśmy skorzystali ze standardowego gniazdka instalacji domowej. Właściciele mogą również obniżyć koszty poprzez zaplanowanie czasu ładowania i korzystanie z tańszych taryf energii elektrycznej. </w:t>
      </w:r>
    </w:p>
    <w:p>
      <w:pPr>
        <w:pStyle w:val="BodyText2"/>
        <w:spacing w:lineRule="auto" w:line="240"/>
        <w:rPr>
          <w:rFonts w:ascii="Arial" w:hAnsi="Arial" w:cs="Arial"/>
          <w:sz w:val="22"/>
          <w:szCs w:val="22"/>
          <w:lang w:val="pl-PL"/>
        </w:rPr>
      </w:pPr>
      <w:r>
        <w:rPr>
          <w:rFonts w:cs="Arial" w:ascii="Arial" w:hAnsi="Arial"/>
          <w:sz w:val="22"/>
          <w:szCs w:val="22"/>
          <w:lang w:val="pl-PL"/>
        </w:rPr>
      </w:r>
    </w:p>
    <w:p>
      <w:pPr>
        <w:pStyle w:val="BodyText2"/>
        <w:spacing w:lineRule="auto" w:line="240"/>
        <w:rPr>
          <w:rFonts w:ascii="Arial" w:hAnsi="Arial" w:cs="Arial"/>
          <w:sz w:val="22"/>
          <w:szCs w:val="22"/>
          <w:lang w:val="pl-PL"/>
        </w:rPr>
      </w:pPr>
      <w:r>
        <w:rPr>
          <w:rFonts w:cs="Arial" w:ascii="Arial" w:hAnsi="Arial"/>
          <w:sz w:val="22"/>
          <w:szCs w:val="22"/>
          <w:lang w:val="pl-PL"/>
        </w:rPr>
        <w:t>Aplikacja FordPass</w:t>
      </w:r>
      <w:r>
        <w:rPr>
          <w:rFonts w:cs="Arial" w:ascii="Arial" w:hAnsi="Arial"/>
          <w:sz w:val="22"/>
          <w:szCs w:val="22"/>
          <w:vertAlign w:val="superscript"/>
          <w:lang w:val="pl-PL"/>
        </w:rPr>
        <w:t xml:space="preserve"> 8</w:t>
      </w:r>
      <w:r>
        <w:rPr>
          <w:rFonts w:cs="Arial" w:ascii="Arial" w:hAnsi="Arial"/>
          <w:sz w:val="22"/>
          <w:szCs w:val="22"/>
          <w:lang w:val="pl-PL"/>
        </w:rPr>
        <w:t xml:space="preserve"> ułatwia orientację w punktach publicznej sieci ładowania. Klienci, korzystający z bezpłatnej aplikacji, mogą:</w:t>
      </w:r>
    </w:p>
    <w:p>
      <w:pPr>
        <w:pStyle w:val="BodyText2"/>
        <w:spacing w:lineRule="auto" w:line="240"/>
        <w:rPr>
          <w:rFonts w:ascii="Arial" w:hAnsi="Arial" w:cs="Arial"/>
          <w:sz w:val="22"/>
          <w:szCs w:val="22"/>
          <w:lang w:val="pl-PL"/>
        </w:rPr>
      </w:pPr>
      <w:r>
        <w:rPr>
          <w:rFonts w:cs="Arial" w:ascii="Arial" w:hAnsi="Arial"/>
          <w:sz w:val="22"/>
          <w:szCs w:val="22"/>
          <w:lang w:val="pl-PL"/>
        </w:rPr>
      </w:r>
    </w:p>
    <w:p>
      <w:pPr>
        <w:pStyle w:val="BodyText2"/>
        <w:numPr>
          <w:ilvl w:val="0"/>
          <w:numId w:val="5"/>
        </w:numPr>
        <w:spacing w:lineRule="auto" w:line="240"/>
        <w:rPr>
          <w:rFonts w:ascii="Arial" w:hAnsi="Arial" w:cs="Arial"/>
          <w:sz w:val="22"/>
          <w:szCs w:val="22"/>
          <w:lang w:val="pl-PL"/>
        </w:rPr>
      </w:pPr>
      <w:r>
        <w:rPr>
          <w:rFonts w:cs="Arial" w:ascii="Arial" w:hAnsi="Arial"/>
          <w:sz w:val="22"/>
          <w:szCs w:val="22"/>
          <w:lang w:val="pl-PL"/>
        </w:rPr>
        <w:t>Sprawd</w:t>
      </w:r>
      <w:r>
        <w:rPr>
          <w:rFonts w:cs="Arial" w:ascii="Arial" w:hAnsi="Arial"/>
          <w:sz w:val="22"/>
          <w:szCs w:val="22"/>
          <w:lang w:val="pl-PL"/>
        </w:rPr>
        <w:t>z</w:t>
      </w:r>
      <w:r>
        <w:rPr>
          <w:rFonts w:cs="Arial" w:ascii="Arial" w:hAnsi="Arial"/>
          <w:sz w:val="22"/>
          <w:szCs w:val="22"/>
          <w:lang w:val="pl-PL"/>
        </w:rPr>
        <w:t>ać zasięg i aktualny stan naładowania E</w:t>
        <w:noBreakHyphen/>
        <w:t>Tourneo Couriera</w:t>
      </w:r>
    </w:p>
    <w:p>
      <w:pPr>
        <w:pStyle w:val="BodyText2"/>
        <w:numPr>
          <w:ilvl w:val="0"/>
          <w:numId w:val="5"/>
        </w:numPr>
        <w:spacing w:lineRule="auto" w:line="240"/>
        <w:rPr>
          <w:rFonts w:ascii="Arial" w:hAnsi="Arial" w:cs="Arial"/>
          <w:sz w:val="22"/>
          <w:szCs w:val="22"/>
          <w:lang w:val="pl-PL"/>
        </w:rPr>
      </w:pPr>
      <w:r>
        <w:rPr>
          <w:rFonts w:cs="Arial" w:ascii="Arial" w:hAnsi="Arial"/>
          <w:sz w:val="22"/>
          <w:szCs w:val="22"/>
          <w:lang w:val="pl-PL"/>
        </w:rPr>
        <w:t>Ogrzać lub schłodzić wstępnie kabinę i akumulator przed wyjazdem, aby uzyskać optymalny zasięg</w:t>
      </w:r>
    </w:p>
    <w:p>
      <w:pPr>
        <w:pStyle w:val="BodyText2"/>
        <w:numPr>
          <w:ilvl w:val="0"/>
          <w:numId w:val="5"/>
        </w:numPr>
        <w:spacing w:lineRule="auto" w:line="240"/>
        <w:rPr>
          <w:rFonts w:ascii="Arial" w:hAnsi="Arial" w:cs="Arial"/>
          <w:sz w:val="22"/>
          <w:szCs w:val="22"/>
          <w:lang w:val="pl-PL"/>
        </w:rPr>
      </w:pPr>
      <w:r>
        <w:rPr>
          <w:rFonts w:cs="Arial" w:ascii="Arial" w:hAnsi="Arial"/>
          <w:sz w:val="22"/>
          <w:szCs w:val="22"/>
          <w:lang w:val="pl-PL"/>
        </w:rPr>
        <w:t xml:space="preserve">Zaplanować najlepszą możliwą trasę dłuższych podróży, określając przy tym </w:t>
      </w:r>
      <w:r>
        <w:rPr>
          <w:rFonts w:eastAsia="Times New Roman" w:cs="Arial" w:ascii="Arial" w:hAnsi="Arial"/>
          <w:color w:val="auto"/>
          <w:kern w:val="0"/>
          <w:sz w:val="22"/>
          <w:szCs w:val="22"/>
          <w:lang w:val="pl-PL" w:eastAsia="zh-CN" w:bidi="ar-SA"/>
        </w:rPr>
        <w:t>dogodne</w:t>
      </w:r>
      <w:r>
        <w:rPr>
          <w:rFonts w:cs="Arial" w:ascii="Arial" w:hAnsi="Arial"/>
          <w:sz w:val="22"/>
          <w:szCs w:val="22"/>
          <w:lang w:val="pl-PL"/>
        </w:rPr>
        <w:t xml:space="preserve"> miejsca postoju na ładowanie</w:t>
      </w:r>
    </w:p>
    <w:p>
      <w:pPr>
        <w:pStyle w:val="BodyText2"/>
        <w:numPr>
          <w:ilvl w:val="0"/>
          <w:numId w:val="5"/>
        </w:numPr>
        <w:spacing w:lineRule="auto" w:line="240"/>
        <w:rPr>
          <w:rFonts w:ascii="Arial" w:hAnsi="Arial" w:cs="Arial"/>
          <w:sz w:val="22"/>
          <w:szCs w:val="22"/>
          <w:lang w:val="pl-PL"/>
        </w:rPr>
      </w:pPr>
      <w:r>
        <w:rPr>
          <w:rFonts w:cs="Arial" w:ascii="Arial" w:hAnsi="Arial"/>
          <w:sz w:val="22"/>
          <w:szCs w:val="22"/>
          <w:lang w:val="pl-PL"/>
        </w:rPr>
        <w:t>Blokować i odblokowywać zamki drzwi, a także odbierać alerty dotyczące bezpieczeństwa</w:t>
      </w:r>
    </w:p>
    <w:p>
      <w:pPr>
        <w:pStyle w:val="BodyText2"/>
        <w:numPr>
          <w:ilvl w:val="0"/>
          <w:numId w:val="5"/>
        </w:numPr>
        <w:spacing w:lineRule="auto" w:line="240"/>
        <w:rPr>
          <w:rFonts w:ascii="Arial" w:hAnsi="Arial" w:cs="Arial"/>
          <w:sz w:val="22"/>
          <w:szCs w:val="22"/>
          <w:lang w:val="pl-PL"/>
        </w:rPr>
      </w:pPr>
      <w:r>
        <w:rPr>
          <w:rFonts w:cs="Arial" w:ascii="Arial" w:hAnsi="Arial"/>
          <w:sz w:val="22"/>
          <w:szCs w:val="22"/>
          <w:lang w:val="pl-PL"/>
        </w:rPr>
        <w:t xml:space="preserve">Zlokalizować swój pojazd na zatłoczonych parkingach lub po długich spacerach w nieznanym terenie </w:t>
      </w:r>
    </w:p>
    <w:p>
      <w:pPr>
        <w:pStyle w:val="BodyText2"/>
        <w:spacing w:lineRule="auto" w:line="240"/>
        <w:ind w:left="720" w:hanging="0"/>
        <w:rPr>
          <w:rFonts w:ascii="Arial" w:hAnsi="Arial" w:cs="Arial"/>
          <w:sz w:val="22"/>
          <w:szCs w:val="22"/>
          <w:lang w:val="pl-PL"/>
        </w:rPr>
      </w:pPr>
      <w:r>
        <w:rPr>
          <w:rFonts w:cs="Arial" w:ascii="Arial" w:hAnsi="Arial"/>
          <w:sz w:val="22"/>
          <w:szCs w:val="22"/>
          <w:lang w:val="pl-PL"/>
        </w:rPr>
      </w:r>
    </w:p>
    <w:p>
      <w:pPr>
        <w:pStyle w:val="BodyText2"/>
        <w:spacing w:lineRule="auto" w:line="240"/>
        <w:rPr>
          <w:rFonts w:ascii="Arial" w:hAnsi="Arial" w:cs="Arial"/>
          <w:sz w:val="22"/>
          <w:szCs w:val="22"/>
          <w:lang w:val="pl-PL"/>
        </w:rPr>
      </w:pPr>
      <w:r>
        <w:rPr>
          <w:rFonts w:cs="Arial" w:ascii="Arial" w:hAnsi="Arial"/>
          <w:sz w:val="22"/>
          <w:szCs w:val="22"/>
          <w:lang w:val="pl-PL"/>
        </w:rPr>
        <w:t xml:space="preserve">Klienci otrzymują również roczny bezpłatny dostęp do jednej z największych w Europie sieci ładowania Blue Oval Charging Network, która do 2024 roku ma obejmować </w:t>
      </w:r>
      <w:r>
        <w:rPr>
          <w:rFonts w:cs="Arial" w:ascii="Arial" w:hAnsi="Arial"/>
          <w:b/>
          <w:bCs/>
          <w:sz w:val="22"/>
          <w:szCs w:val="22"/>
          <w:lang w:val="pl-PL"/>
        </w:rPr>
        <w:t>500 000 publicznych ładowarek</w:t>
      </w:r>
      <w:r>
        <w:rPr>
          <w:rFonts w:cs="Arial" w:ascii="Arial" w:hAnsi="Arial"/>
          <w:sz w:val="22"/>
          <w:szCs w:val="22"/>
          <w:lang w:val="pl-PL"/>
        </w:rPr>
        <w:t xml:space="preserve">. </w:t>
      </w:r>
    </w:p>
    <w:p>
      <w:pPr>
        <w:pStyle w:val="BodyText2"/>
        <w:spacing w:lineRule="auto" w:line="240"/>
        <w:rPr>
          <w:rFonts w:ascii="Arial" w:hAnsi="Arial" w:cs="Arial"/>
          <w:sz w:val="22"/>
          <w:szCs w:val="22"/>
          <w:lang w:val="pl-PL"/>
        </w:rPr>
      </w:pPr>
      <w:r>
        <w:rPr>
          <w:rFonts w:cs="Arial" w:ascii="Arial" w:hAnsi="Arial"/>
          <w:sz w:val="22"/>
          <w:szCs w:val="22"/>
          <w:lang w:val="pl-PL"/>
        </w:rPr>
      </w:r>
    </w:p>
    <w:p>
      <w:pPr>
        <w:pStyle w:val="Normal"/>
        <w:spacing w:lineRule="auto" w:line="240" w:before="0" w:after="0"/>
        <w:rPr/>
      </w:pPr>
      <w:r>
        <w:rPr>
          <w:rFonts w:cs="Arial" w:ascii="Arial" w:hAnsi="Arial"/>
          <w:lang w:val="pl-PL"/>
        </w:rPr>
        <w:t>Oparta na subskrypcji, skomunikowana z siecią nawigacja Connected Navigation</w:t>
      </w:r>
      <w:r>
        <w:rPr>
          <w:rFonts w:cs="Arial" w:ascii="Arial" w:hAnsi="Arial"/>
          <w:vertAlign w:val="superscript"/>
          <w:lang w:val="pl-PL"/>
        </w:rPr>
        <w:t xml:space="preserve"> 9</w:t>
      </w:r>
      <w:r>
        <w:rPr>
          <w:rFonts w:cs="Arial" w:ascii="Arial" w:hAnsi="Arial"/>
          <w:position w:val="0"/>
          <w:sz w:val="22"/>
          <w:sz w:val="22"/>
          <w:vertAlign w:val="baseline"/>
          <w:lang w:val="pl-PL"/>
        </w:rPr>
        <w:t xml:space="preserve"> może ułatwić poruszanie się po nieznanych drogach, dzięki aktualnym informacjom o ruchu drogowym, parkowaniu, opłatach i </w:t>
      </w:r>
      <w:hyperlink r:id="rId4">
        <w:r>
          <w:rPr>
            <w:rStyle w:val="Czeinternetowe"/>
            <w:rFonts w:cs="Arial" w:ascii="Arial" w:hAnsi="Arial"/>
            <w:lang w:val="pl-PL"/>
          </w:rPr>
          <w:t>lokalnych zagrożeniach</w:t>
        </w:r>
      </w:hyperlink>
      <w:r>
        <w:rPr>
          <w:rFonts w:cs="Arial" w:ascii="Arial" w:hAnsi="Arial"/>
          <w:lang w:val="pl-PL"/>
        </w:rPr>
        <w:t>.</w:t>
      </w:r>
    </w:p>
    <w:p>
      <w:pPr>
        <w:pStyle w:val="Normal"/>
        <w:spacing w:lineRule="auto" w:line="240" w:before="0" w:after="0"/>
        <w:rPr>
          <w:rFonts w:ascii="Arial" w:hAnsi="Arial" w:cs="Arial"/>
          <w:b/>
          <w:b/>
          <w:bCs/>
          <w:lang w:val="pl-PL"/>
        </w:rPr>
      </w:pPr>
      <w:r>
        <w:rPr/>
      </w:r>
    </w:p>
    <w:p>
      <w:pPr>
        <w:pStyle w:val="Normal"/>
        <w:spacing w:lineRule="auto" w:line="240" w:before="0" w:after="0"/>
        <w:rPr>
          <w:rFonts w:ascii="Arial" w:hAnsi="Arial" w:cs="Arial"/>
          <w:b/>
          <w:b/>
          <w:bCs/>
          <w:lang w:val="pl-PL"/>
        </w:rPr>
      </w:pPr>
      <w:r>
        <w:rPr/>
      </w:r>
    </w:p>
    <w:p>
      <w:pPr>
        <w:pStyle w:val="Normal"/>
        <w:spacing w:lineRule="auto" w:line="240" w:before="0" w:after="0"/>
        <w:rPr>
          <w:rFonts w:ascii="Arial" w:hAnsi="Arial" w:cs="Arial"/>
          <w:b/>
          <w:b/>
          <w:bCs/>
          <w:lang w:val="pl-PL"/>
        </w:rPr>
      </w:pPr>
      <w:r>
        <w:rPr>
          <w:rFonts w:cs="Arial" w:ascii="Arial" w:hAnsi="Arial"/>
          <w:b/>
          <w:bCs/>
          <w:lang w:val="pl-PL"/>
        </w:rPr>
        <w:t>Najlepsze w tej klasie systemy wspomagania kierowcy</w:t>
      </w:r>
    </w:p>
    <w:p>
      <w:pPr>
        <w:pStyle w:val="Normal"/>
        <w:spacing w:lineRule="auto" w:line="240" w:before="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lang w:val="pl-PL"/>
        </w:rPr>
      </w:pPr>
      <w:r>
        <w:rPr>
          <w:rFonts w:cs="Arial" w:ascii="Arial" w:hAnsi="Arial"/>
          <w:lang w:val="pl-PL"/>
        </w:rPr>
        <w:t xml:space="preserve">Aby obniżyć odczucie zmęczenia prowadzącego, </w:t>
      </w:r>
      <w:r>
        <w:rPr>
          <w:rFonts w:cs="Arial" w:ascii="Arial" w:hAnsi="Arial"/>
          <w:lang w:val="pl-PL"/>
        </w:rPr>
        <w:t xml:space="preserve">a także </w:t>
      </w:r>
      <w:r>
        <w:rPr>
          <w:rFonts w:cs="Arial" w:ascii="Arial" w:hAnsi="Arial"/>
          <w:lang w:val="pl-PL"/>
        </w:rPr>
        <w:t xml:space="preserve">pomóc chronić pojazd i jego pasażerów, model wyposażono w najszerszą gamę zaawansowanych systemów wspomagania kierowcy, </w:t>
      </w:r>
      <w:r>
        <w:rPr>
          <w:rFonts w:cs="Arial" w:ascii="Arial" w:hAnsi="Arial"/>
          <w:vertAlign w:val="superscript"/>
          <w:lang w:val="pl-PL"/>
        </w:rPr>
        <w:t>6</w:t>
      </w:r>
      <w:r>
        <w:rPr>
          <w:rFonts w:cs="Arial" w:ascii="Arial" w:hAnsi="Arial"/>
          <w:position w:val="0"/>
          <w:sz w:val="22"/>
          <w:sz w:val="22"/>
          <w:vertAlign w:val="baseline"/>
          <w:lang w:val="pl-PL"/>
        </w:rPr>
        <w:t xml:space="preserve"> jakie kiedykolwiek były oferowane w standardzie w segmencie kompaktowych samochodów wielo</w:t>
      </w:r>
      <w:r>
        <w:rPr>
          <w:rFonts w:eastAsia="Calibri" w:cs="Arial" w:ascii="Arial" w:hAnsi="Arial"/>
          <w:color w:val="auto"/>
          <w:kern w:val="0"/>
          <w:position w:val="0"/>
          <w:sz w:val="22"/>
          <w:sz w:val="22"/>
          <w:szCs w:val="22"/>
          <w:vertAlign w:val="baseline"/>
          <w:lang w:val="pl-PL" w:eastAsia="en-US" w:bidi="ar-SA"/>
        </w:rPr>
        <w:t>zadaniow</w:t>
      </w:r>
      <w:r>
        <w:rPr>
          <w:rFonts w:cs="Arial" w:ascii="Arial" w:hAnsi="Arial"/>
          <w:position w:val="0"/>
          <w:sz w:val="22"/>
          <w:sz w:val="22"/>
          <w:vertAlign w:val="baseline"/>
          <w:lang w:val="pl-PL"/>
        </w:rPr>
        <w:t>ych. Są to między innymi:</w:t>
      </w:r>
    </w:p>
    <w:p>
      <w:pPr>
        <w:pStyle w:val="Normal"/>
        <w:spacing w:lineRule="auto" w:line="240" w:before="0" w:after="0"/>
        <w:rPr>
          <w:rFonts w:ascii="Arial" w:hAnsi="Arial" w:cs="Arial"/>
          <w:lang w:val="pl-PL"/>
        </w:rPr>
      </w:pPr>
      <w:r>
        <w:rPr>
          <w:rFonts w:cs="Arial" w:ascii="Arial" w:hAnsi="Arial"/>
          <w:lang w:val="pl-PL"/>
        </w:rPr>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Inteligentny system oświetlenia</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Tempomat</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System monitorowania koncentracji kierowcy</w:t>
      </w:r>
    </w:p>
    <w:p>
      <w:pPr>
        <w:pStyle w:val="ListParagraph"/>
        <w:numPr>
          <w:ilvl w:val="0"/>
          <w:numId w:val="6"/>
        </w:numPr>
        <w:spacing w:lineRule="auto" w:line="240" w:before="0" w:after="0"/>
        <w:contextualSpacing/>
        <w:rPr>
          <w:rFonts w:ascii="Arial" w:hAnsi="Arial" w:cs="Arial"/>
          <w:lang w:val="pl-PL"/>
        </w:rPr>
      </w:pPr>
      <w:r>
        <w:rPr>
          <w:rFonts w:eastAsia="Calibri" w:cs="Arial" w:ascii="Arial" w:hAnsi="Arial"/>
          <w:color w:val="auto"/>
          <w:kern w:val="0"/>
          <w:sz w:val="22"/>
          <w:szCs w:val="22"/>
          <w:lang w:val="pl-PL" w:eastAsia="en-US" w:bidi="ar-SA"/>
        </w:rPr>
        <w:t>P</w:t>
      </w:r>
      <w:r>
        <w:rPr>
          <w:rFonts w:cs="Arial" w:ascii="Arial" w:hAnsi="Arial"/>
          <w:lang w:val="pl-PL"/>
        </w:rPr>
        <w:t xml:space="preserve">rzednie i tylne </w:t>
      </w:r>
      <w:r>
        <w:rPr>
          <w:rFonts w:cs="Arial" w:ascii="Arial" w:hAnsi="Arial"/>
          <w:lang w:val="pl-PL"/>
        </w:rPr>
        <w:t>c</w:t>
      </w:r>
      <w:r>
        <w:rPr>
          <w:rFonts w:cs="Arial" w:ascii="Arial" w:hAnsi="Arial"/>
          <w:lang w:val="pl-PL"/>
        </w:rPr>
        <w:t xml:space="preserve">zujniki parkowania </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Wspomaganie ruszania pod górę</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 xml:space="preserve">Inteligentny ogranicznik prędkości </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System utrzymania na wybranym pasie ruchu</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Aktywne wspomagania hamowania</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Kamera cofania</w:t>
      </w:r>
    </w:p>
    <w:p>
      <w:pPr>
        <w:pStyle w:val="ListParagraph"/>
        <w:numPr>
          <w:ilvl w:val="0"/>
          <w:numId w:val="6"/>
        </w:numPr>
        <w:spacing w:lineRule="auto" w:line="240" w:before="0" w:after="0"/>
        <w:contextualSpacing/>
        <w:rPr>
          <w:rFonts w:ascii="Arial" w:hAnsi="Arial" w:cs="Arial"/>
          <w:lang w:val="pl-PL"/>
        </w:rPr>
      </w:pPr>
      <w:r>
        <w:rPr>
          <w:rFonts w:cs="Arial" w:ascii="Arial" w:hAnsi="Arial"/>
          <w:lang w:val="pl-PL"/>
        </w:rPr>
        <w:t>System rozpoznawania znaków drogowych</w:t>
      </w:r>
    </w:p>
    <w:p>
      <w:pPr>
        <w:pStyle w:val="ListParagraph"/>
        <w:numPr>
          <w:ilvl w:val="0"/>
          <w:numId w:val="7"/>
        </w:numPr>
        <w:spacing w:before="0" w:after="0"/>
        <w:contextualSpacing/>
        <w:rPr>
          <w:rFonts w:ascii="Arial" w:hAnsi="Arial" w:cs="Arial"/>
          <w:lang w:val="pl-PL"/>
        </w:rPr>
      </w:pPr>
      <w:r>
        <w:rPr>
          <w:rFonts w:cs="Arial" w:ascii="Arial" w:hAnsi="Arial"/>
          <w:lang w:val="pl-PL"/>
        </w:rPr>
        <w:t>System ostrzegania przed jazdą pod prąd</w:t>
        <w:br/>
      </w:r>
    </w:p>
    <w:p>
      <w:pPr>
        <w:pStyle w:val="Normal"/>
        <w:spacing w:before="0" w:after="0"/>
        <w:rPr>
          <w:rFonts w:ascii="Arial" w:hAnsi="Arial" w:cs="Arial"/>
          <w:vertAlign w:val="superscript"/>
          <w:lang w:val="pl-PL"/>
        </w:rPr>
      </w:pPr>
      <w:r>
        <w:rPr>
          <w:rFonts w:cs="Arial" w:ascii="Arial" w:hAnsi="Arial"/>
          <w:lang w:val="pl-PL"/>
        </w:rPr>
        <w:t xml:space="preserve">Kolejne zaawansowane systemy, dostępne w pakiecie wspomagającym kierowcę to: </w:t>
      </w:r>
      <w:r>
        <w:rPr>
          <w:rFonts w:cs="Arial" w:ascii="Arial" w:hAnsi="Arial"/>
          <w:vertAlign w:val="superscript"/>
          <w:lang w:val="pl-PL"/>
        </w:rPr>
        <w:t xml:space="preserve"> 6</w:t>
      </w:r>
    </w:p>
    <w:p>
      <w:pPr>
        <w:pStyle w:val="ListParagraph"/>
        <w:spacing w:before="0" w:after="0"/>
        <w:contextualSpacing/>
        <w:rPr>
          <w:rFonts w:ascii="Arial" w:hAnsi="Arial" w:cs="Arial"/>
          <w:lang w:val="pl-PL"/>
        </w:rPr>
      </w:pPr>
      <w:r>
        <w:rPr>
          <w:rFonts w:cs="Arial" w:ascii="Arial" w:hAnsi="Arial"/>
          <w:lang w:val="pl-PL"/>
        </w:rPr>
      </w:r>
    </w:p>
    <w:p>
      <w:pPr>
        <w:pStyle w:val="ListParagraph"/>
        <w:numPr>
          <w:ilvl w:val="0"/>
          <w:numId w:val="8"/>
        </w:numPr>
        <w:spacing w:lineRule="auto" w:line="240" w:before="0" w:after="0"/>
        <w:contextualSpacing/>
        <w:rPr>
          <w:rFonts w:ascii="Arial" w:hAnsi="Arial" w:cs="Arial"/>
          <w:lang w:val="pl-PL"/>
        </w:rPr>
      </w:pPr>
      <w:r>
        <w:rPr>
          <w:rFonts w:cs="Arial" w:ascii="Arial" w:hAnsi="Arial"/>
          <w:lang w:val="pl-PL"/>
        </w:rPr>
        <w:t>Tempomat adaptacyjny z systemem utrzymania na pasie ruchu i funkcją Stop &amp; Go</w:t>
      </w:r>
    </w:p>
    <w:p>
      <w:pPr>
        <w:pStyle w:val="ListParagraph"/>
        <w:numPr>
          <w:ilvl w:val="0"/>
          <w:numId w:val="8"/>
        </w:numPr>
        <w:spacing w:lineRule="auto" w:line="240" w:before="0" w:after="0"/>
        <w:contextualSpacing/>
        <w:rPr>
          <w:rFonts w:ascii="Arial" w:hAnsi="Arial" w:cs="Arial"/>
          <w:lang w:val="pl-PL"/>
        </w:rPr>
      </w:pPr>
      <w:r>
        <w:rPr>
          <w:rFonts w:cs="Arial" w:ascii="Arial" w:hAnsi="Arial"/>
          <w:lang w:val="pl-PL"/>
        </w:rPr>
        <w:t>System ostrzegania o obiektach w martwym polu lusterek z funkcją wykrywania ruchu poprzecznego</w:t>
      </w:r>
    </w:p>
    <w:p>
      <w:pPr>
        <w:pStyle w:val="ListParagraph"/>
        <w:numPr>
          <w:ilvl w:val="0"/>
          <w:numId w:val="8"/>
        </w:numPr>
        <w:spacing w:lineRule="auto" w:line="240" w:before="0" w:after="0"/>
        <w:contextualSpacing/>
        <w:rPr>
          <w:rFonts w:ascii="Arial" w:hAnsi="Arial" w:cs="Arial"/>
          <w:lang w:val="pl-PL"/>
        </w:rPr>
      </w:pPr>
      <w:r>
        <w:rPr>
          <w:rFonts w:cs="Arial" w:ascii="Arial" w:hAnsi="Arial"/>
          <w:lang w:val="pl-PL"/>
        </w:rPr>
        <w:t>Asystent unikania kolizji na skrzyżowaniach</w:t>
      </w:r>
    </w:p>
    <w:p>
      <w:pPr>
        <w:pStyle w:val="ListParagraph"/>
        <w:numPr>
          <w:ilvl w:val="0"/>
          <w:numId w:val="8"/>
        </w:numPr>
        <w:spacing w:lineRule="auto" w:line="240" w:before="0" w:after="0"/>
        <w:contextualSpacing/>
        <w:rPr>
          <w:rFonts w:ascii="Arial" w:hAnsi="Arial" w:cs="Arial"/>
          <w:lang w:val="pl-PL"/>
        </w:rPr>
      </w:pPr>
      <w:r>
        <w:rPr>
          <w:rFonts w:cs="Arial" w:ascii="Arial" w:hAnsi="Arial"/>
          <w:lang w:val="pl-PL"/>
        </w:rPr>
        <w:t>Wspomaganie hamowania awaryjnego podczas cofania</w:t>
      </w:r>
    </w:p>
    <w:p>
      <w:pPr>
        <w:pStyle w:val="Normal"/>
        <w:spacing w:lineRule="auto" w:line="240" w:before="0" w:after="0"/>
        <w:rPr>
          <w:rFonts w:ascii="Arial" w:hAnsi="Arial" w:cs="Arial"/>
          <w:lang w:val="pl-PL"/>
        </w:rPr>
      </w:pPr>
      <w:r>
        <w:rPr>
          <w:rFonts w:cs="Arial" w:ascii="Arial" w:hAnsi="Arial"/>
          <w:lang w:val="pl-PL"/>
        </w:rPr>
        <w:br/>
        <w:t xml:space="preserve">Oprócz nowych systemów wspomagających kierowcę, jazdę w mieście ułatwiają seryjne przednie i tylne czujniki parkowania. Równie ważne w ciasnej przestrzeni miejskiej są poprawiające zwrotność: niewielki promień skrętu pomiędzy krawężnikami, wynoszący 10,7 m i długość całkowita poniżej 4,4 m. </w:t>
        <w:br/>
      </w:r>
    </w:p>
    <w:p>
      <w:pPr>
        <w:pStyle w:val="Normal"/>
        <w:spacing w:lineRule="auto" w:line="240" w:before="120" w:after="0"/>
        <w:rPr>
          <w:rFonts w:ascii="Arial" w:hAnsi="Arial" w:cs="Arial"/>
          <w:b/>
          <w:b/>
          <w:bCs/>
          <w:lang w:val="pl-PL"/>
        </w:rPr>
      </w:pPr>
      <w:r>
        <w:rPr>
          <w:rFonts w:cs="Arial" w:ascii="Arial" w:hAnsi="Arial"/>
          <w:b/>
          <w:bCs/>
          <w:lang w:val="pl-PL"/>
        </w:rPr>
        <w:t>Model z silnikiem EcoBoost dostępny w 2023 roku</w:t>
      </w:r>
    </w:p>
    <w:p>
      <w:pPr>
        <w:pStyle w:val="Normal"/>
        <w:spacing w:lineRule="auto" w:line="240" w:before="0" w:after="0"/>
        <w:rPr>
          <w:rFonts w:ascii="Arial" w:hAnsi="Arial" w:cs="Arial"/>
          <w:b/>
          <w:b/>
          <w:bCs/>
          <w:lang w:val="pl-PL"/>
        </w:rPr>
      </w:pPr>
      <w:r>
        <w:rPr>
          <w:rFonts w:cs="Arial" w:ascii="Arial" w:hAnsi="Arial"/>
          <w:b/>
          <w:bCs/>
          <w:lang w:val="pl-PL"/>
        </w:rPr>
      </w:r>
    </w:p>
    <w:p>
      <w:pPr>
        <w:pStyle w:val="BodyText2"/>
        <w:spacing w:lineRule="auto" w:line="240"/>
        <w:rPr>
          <w:rFonts w:ascii="Arial" w:hAnsi="Arial" w:cs="Arial"/>
          <w:bCs/>
          <w:sz w:val="22"/>
          <w:szCs w:val="22"/>
          <w:lang w:val="pl-PL"/>
        </w:rPr>
      </w:pPr>
      <w:r>
        <w:rPr>
          <w:rFonts w:cs="Arial" w:ascii="Arial" w:hAnsi="Arial"/>
          <w:bCs/>
          <w:sz w:val="22"/>
          <w:szCs w:val="22"/>
          <w:lang w:val="pl-PL"/>
        </w:rPr>
        <w:t>Poza w pełni elektrycznym E</w:t>
        <w:noBreakHyphen/>
        <w:t xml:space="preserve">Tourneo Courierem, dostępny będzie Tourneo Courier z oszczędnym 1,0-litrowym, turbodoładowanym silnikiem benzynowy EcoBoost, o mocy 125 KM – wersję będzie można zamawiać w połowie 2023 roku. Klienci mogą zdecydować się na sześciobiegową manualną skrzynię biegów lub wariant z </w:t>
      </w:r>
      <w:r>
        <w:rPr>
          <w:rFonts w:cs="Arial" w:ascii="Arial" w:hAnsi="Arial"/>
          <w:b/>
          <w:sz w:val="22"/>
          <w:szCs w:val="22"/>
          <w:lang w:val="pl-PL"/>
        </w:rPr>
        <w:t>nową siedmiobiegową, dwusprzęgłową skrzynią automatyczną,</w:t>
      </w:r>
      <w:r>
        <w:rPr>
          <w:rFonts w:cs="Arial" w:ascii="Arial" w:hAnsi="Arial"/>
          <w:bCs/>
          <w:sz w:val="22"/>
          <w:szCs w:val="22"/>
          <w:lang w:val="pl-PL"/>
        </w:rPr>
        <w:t xml:space="preserve"> zapewniającą równowagę między płynną zmianą przełożeń i oszczędnością. </w:t>
      </w:r>
      <w:r>
        <w:rPr>
          <w:rFonts w:eastAsia="Times New Roman" w:cs="Arial" w:ascii="Arial" w:hAnsi="Arial"/>
          <w:bCs/>
          <w:color w:val="auto"/>
          <w:kern w:val="0"/>
          <w:sz w:val="22"/>
          <w:szCs w:val="22"/>
          <w:lang w:val="pl-PL" w:eastAsia="zh-CN" w:bidi="ar-SA"/>
        </w:rPr>
        <w:t>W</w:t>
      </w:r>
      <w:r>
        <w:rPr>
          <w:rFonts w:cs="Arial" w:ascii="Arial" w:hAnsi="Arial"/>
          <w:bCs/>
          <w:sz w:val="22"/>
          <w:szCs w:val="22"/>
          <w:lang w:val="pl-PL"/>
        </w:rPr>
        <w:t xml:space="preserve"> wyposażeniu standardowym modeli EcoBoost oferowane są: system Auto Start-Stop oraz aktywna żaluzja wlotu powietrza, obniżające zużycie paliwa. </w:t>
      </w:r>
    </w:p>
    <w:p>
      <w:pPr>
        <w:pStyle w:val="Normal"/>
        <w:spacing w:lineRule="auto" w:line="240" w:before="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lang w:val="pl-PL"/>
        </w:rPr>
      </w:pPr>
      <w:r>
        <w:rPr>
          <w:rFonts w:cs="Arial" w:ascii="Arial" w:hAnsi="Arial"/>
          <w:lang w:val="pl-PL"/>
        </w:rPr>
        <w:t>Klienci będą mieli do wyboru kilka wersji: reprezentującą ducha przygody Active, luksusową Titanium i stylową Trend. Bogata specyfikacja standardowa obejmuje: system informacyjno-rozrywkowy Forda SYNC 4 z 8-calowym ekranem dotykowym,</w:t>
      </w:r>
      <w:r>
        <w:rPr>
          <w:rFonts w:cs="Arial" w:ascii="Arial" w:hAnsi="Arial"/>
          <w:vertAlign w:val="superscript"/>
          <w:lang w:val="pl-PL"/>
        </w:rPr>
        <w:t xml:space="preserve"> 3</w:t>
      </w:r>
      <w:r>
        <w:rPr>
          <w:rFonts w:cs="Arial" w:ascii="Arial" w:hAnsi="Arial"/>
          <w:lang w:val="pl-PL"/>
        </w:rPr>
        <w:t xml:space="preserve"> bezprzewodową integrację telefonów poprzez Apple CarPlay i Android Auto,</w:t>
      </w:r>
      <w:r>
        <w:rPr>
          <w:rFonts w:cs="Arial" w:ascii="Arial" w:hAnsi="Arial"/>
          <w:vertAlign w:val="superscript"/>
          <w:lang w:val="pl-PL"/>
        </w:rPr>
        <w:t xml:space="preserve"> 10</w:t>
      </w:r>
      <w:r>
        <w:rPr>
          <w:rFonts w:cs="Arial" w:ascii="Arial" w:hAnsi="Arial"/>
          <w:lang w:val="pl-PL"/>
        </w:rPr>
        <w:t xml:space="preserve"> oraz pokładowy modem umożliwiający komunikację z aplikacją FordPass i zdalne aktualizacje over-the-air. </w:t>
      </w:r>
    </w:p>
    <w:p>
      <w:pPr>
        <w:pStyle w:val="Normal"/>
        <w:spacing w:lineRule="auto" w:line="240" w:before="120" w:after="0"/>
        <w:rPr>
          <w:rFonts w:ascii="Arial" w:hAnsi="Arial" w:cs="Arial"/>
          <w:lang w:val="pl-PL"/>
        </w:rPr>
      </w:pPr>
      <w:r>
        <w:rPr>
          <w:rFonts w:cs="Arial" w:ascii="Arial" w:hAnsi="Arial"/>
          <w:lang w:val="pl-PL"/>
        </w:rPr>
      </w:r>
    </w:p>
    <w:p>
      <w:pPr>
        <w:pStyle w:val="Normal"/>
        <w:spacing w:lineRule="auto" w:line="240" w:before="120" w:after="0"/>
        <w:rPr>
          <w:rFonts w:ascii="Arial" w:hAnsi="Arial" w:cs="Arial"/>
          <w:lang w:val="pl-PL"/>
        </w:rPr>
      </w:pPr>
      <w:r>
        <w:rPr>
          <w:rFonts w:cs="Arial" w:ascii="Arial" w:hAnsi="Arial"/>
          <w:lang w:val="pl-PL"/>
        </w:rPr>
      </w:r>
    </w:p>
    <w:p>
      <w:pPr>
        <w:pStyle w:val="Normal"/>
        <w:spacing w:lineRule="auto" w:line="240" w:before="0" w:after="0"/>
        <w:rPr>
          <w:rFonts w:ascii="Arial" w:hAnsi="Arial" w:cs="Arial"/>
          <w:lang w:val="pl-PL"/>
        </w:rPr>
      </w:pPr>
      <w:r>
        <w:rPr>
          <w:rFonts w:cs="Arial" w:ascii="Arial" w:hAnsi="Arial"/>
          <w:b/>
          <w:bCs/>
          <w:lang w:val="pl-PL"/>
        </w:rPr>
        <w:t>Produkt najwyższej jakości</w:t>
      </w:r>
    </w:p>
    <w:p>
      <w:pPr>
        <w:pStyle w:val="Normal"/>
        <w:spacing w:lineRule="auto" w:line="240" w:before="0" w:after="0"/>
        <w:rPr>
          <w:rFonts w:ascii="Arial" w:hAnsi="Arial" w:cs="Arial"/>
          <w:b/>
          <w:b/>
          <w:bCs/>
          <w:lang w:val="pl-PL"/>
        </w:rPr>
      </w:pPr>
      <w:r>
        <w:rPr>
          <w:rFonts w:cs="Arial" w:ascii="Arial" w:hAnsi="Arial"/>
          <w:b/>
          <w:bCs/>
          <w:lang w:val="pl-PL"/>
        </w:rPr>
      </w:r>
    </w:p>
    <w:p>
      <w:pPr>
        <w:pStyle w:val="Normal"/>
        <w:spacing w:lineRule="auto" w:line="240" w:before="0" w:after="0"/>
        <w:rPr>
          <w:rFonts w:ascii="Arial" w:hAnsi="Arial" w:cs="Arial"/>
          <w:lang w:val="pl-PL"/>
        </w:rPr>
      </w:pPr>
      <w:r>
        <w:rPr>
          <w:rFonts w:cs="Arial" w:ascii="Arial" w:hAnsi="Arial"/>
          <w:lang w:val="pl-PL"/>
        </w:rPr>
        <w:t>Wszystkie wersje Tourneo Couriera będą produkowane w Krajowie w Rumunii, w reprezentującym najwyższe standardy zakładzie, który w </w:t>
      </w:r>
      <w:hyperlink r:id="rId5">
        <w:r>
          <w:rPr>
            <w:rStyle w:val="Czeinternetowe"/>
            <w:rFonts w:cs="Arial" w:ascii="Arial" w:hAnsi="Arial"/>
            <w:lang w:val="pl-PL"/>
          </w:rPr>
          <w:t>ubiegłym roku stał się częścią sieci produkcyjnej Ford Otosan</w:t>
        </w:r>
      </w:hyperlink>
      <w:r>
        <w:rPr>
          <w:rStyle w:val="Czeinternetowe"/>
          <w:rFonts w:cs="Arial" w:ascii="Arial" w:hAnsi="Arial"/>
          <w:lang w:val="pl-PL"/>
        </w:rPr>
        <w:t>.</w:t>
      </w:r>
      <w:r>
        <w:rPr>
          <w:rFonts w:cs="Arial" w:ascii="Arial" w:hAnsi="Arial"/>
          <w:lang w:val="pl-PL"/>
        </w:rPr>
        <w:t xml:space="preserve"> </w:t>
      </w:r>
      <w:r>
        <w:rPr>
          <w:rFonts w:cs="Arial" w:ascii="Arial" w:hAnsi="Arial"/>
          <w:lang w:val="pl-PL"/>
        </w:rPr>
        <w:t>F</w:t>
      </w:r>
      <w:r>
        <w:rPr>
          <w:rFonts w:cs="Arial" w:ascii="Arial" w:hAnsi="Arial"/>
          <w:lang w:val="pl-PL"/>
        </w:rPr>
        <w:t>irma ogłosiła trzyletni plan inwestycyjny o wartości 490 mln euro, którego celem jest rozszerzenie produkcji, między innymi o nowy model montowany obok kompaktowego SUV-a Puma, będącego najlepiej sprzedającym się samochodem osobowym Forda w Europie</w:t>
      </w:r>
      <w:r>
        <w:rPr>
          <w:rFonts w:cs="Arial" w:ascii="Arial" w:hAnsi="Arial"/>
          <w:vertAlign w:val="superscript"/>
          <w:lang w:val="pl-PL"/>
        </w:rPr>
        <w:t xml:space="preserve"> 12. </w:t>
      </w:r>
      <w:r>
        <w:rPr>
          <w:rFonts w:cs="Arial" w:ascii="Arial" w:hAnsi="Arial"/>
          <w:position w:val="0"/>
          <w:sz w:val="22"/>
          <w:sz w:val="22"/>
          <w:vertAlign w:val="baseline"/>
          <w:lang w:val="pl-PL"/>
        </w:rPr>
        <w:t xml:space="preserve">Gama Pumy wzbogaci się również do 2024 roku o wariant w pełni elektryczny. </w:t>
      </w:r>
    </w:p>
    <w:p>
      <w:pPr>
        <w:pStyle w:val="Normal"/>
        <w:spacing w:lineRule="auto" w:line="240" w:before="0" w:after="0"/>
        <w:rPr>
          <w:rFonts w:ascii="Arial" w:hAnsi="Arial" w:cs="Arial"/>
          <w:b/>
          <w:b/>
          <w:bCs/>
          <w:position w:val="0"/>
          <w:sz w:val="20"/>
          <w:sz w:val="20"/>
          <w:szCs w:val="20"/>
          <w:vertAlign w:val="baseline"/>
          <w:lang w:val="pl-PL"/>
        </w:rPr>
      </w:pPr>
      <w:r>
        <w:rPr>
          <w:rFonts w:cs="Arial" w:ascii="Arial" w:hAnsi="Arial"/>
          <w:b/>
          <w:bCs/>
          <w:position w:val="0"/>
          <w:sz w:val="20"/>
          <w:sz w:val="20"/>
          <w:szCs w:val="20"/>
          <w:vertAlign w:val="baseline"/>
          <w:lang w:val="pl-PL"/>
        </w:rPr>
      </w:r>
    </w:p>
    <w:p>
      <w:pPr>
        <w:pStyle w:val="Normal"/>
        <w:jc w:val="center"/>
        <w:rPr>
          <w:rFonts w:ascii="Arial" w:hAnsi="Arial" w:cs="Arial"/>
          <w:lang w:val="pl-PL"/>
        </w:rPr>
      </w:pPr>
      <w:r>
        <w:rPr>
          <w:rFonts w:cs="Arial" w:ascii="Arial" w:hAnsi="Arial"/>
          <w:lang w:val="pl-PL"/>
        </w:rPr>
        <w:t># # #</w:t>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 xml:space="preserve">1 </w:t>
      </w:r>
      <w:r>
        <w:rPr>
          <w:rFonts w:cs="Arial" w:ascii="Arial" w:hAnsi="Arial"/>
          <w:sz w:val="12"/>
          <w:szCs w:val="12"/>
          <w:lang w:val="pl-PL"/>
        </w:rPr>
        <w:t>Oficjalne dane homologacyjne dotyczące zużycia energii zostaną podane przed rozpoczęciem sprzedaży. Deklarowany zasięg jazdy i czas ładowania oparte są o symulacje komputerowe wykonane przez producenta oraz o szacunki. Rzeczywisty zasięg pojazdu może różnić się od deklarowanego w zależności od warunków zewnętrznych, stylu jazdy, stanu technicznego pojazdu i wieku akumulatora litowo-jonowego.</w:t>
      </w:r>
    </w:p>
    <w:p>
      <w:pPr>
        <w:pStyle w:val="Normal"/>
        <w:spacing w:lineRule="auto" w:line="240" w:before="0" w:after="0"/>
        <w:rPr>
          <w:rFonts w:ascii="Arial" w:hAnsi="Arial" w:cs="Arial"/>
          <w:sz w:val="12"/>
          <w:szCs w:val="12"/>
          <w:lang w:val="pl-PL"/>
        </w:rPr>
      </w:pPr>
      <w:r>
        <w:rPr>
          <w:rFonts w:cs="Arial" w:ascii="Arial" w:hAnsi="Arial"/>
          <w:sz w:val="12"/>
          <w:szCs w:val="12"/>
          <w:lang w:val="pl-PL"/>
        </w:rPr>
      </w:r>
    </w:p>
    <w:p>
      <w:pPr>
        <w:pStyle w:val="Normal"/>
        <w:spacing w:lineRule="auto" w:line="240" w:before="0" w:after="0"/>
        <w:rPr>
          <w:rFonts w:ascii="Arial" w:hAnsi="Arial" w:cs="Arial"/>
          <w:sz w:val="12"/>
          <w:szCs w:val="12"/>
          <w:lang w:val="pl-PL"/>
        </w:rPr>
      </w:pPr>
      <w:r>
        <w:rPr>
          <w:rFonts w:cs="Arial" w:ascii="Arial" w:hAnsi="Arial"/>
          <w:sz w:val="12"/>
          <w:szCs w:val="12"/>
          <w:lang w:val="pl-PL"/>
        </w:rPr>
        <w:t>Oficjalne dane homologacyjne dotyczące zużycia paliwa i emisji CO</w:t>
      </w:r>
      <w:r>
        <w:rPr>
          <w:rFonts w:cs="Arial" w:ascii="Arial" w:hAnsi="Arial"/>
          <w:sz w:val="12"/>
          <w:szCs w:val="12"/>
          <w:vertAlign w:val="subscript"/>
          <w:lang w:val="pl-PL"/>
        </w:rPr>
        <w:t>2</w:t>
      </w:r>
      <w:r>
        <w:rPr>
          <w:rFonts w:cs="Arial" w:ascii="Arial" w:hAnsi="Arial"/>
          <w:sz w:val="12"/>
          <w:szCs w:val="12"/>
          <w:lang w:val="pl-PL"/>
        </w:rPr>
        <w:t xml:space="preserve"> zostaną podane przed rozpoczęciem sprzedaży. Deklarowane zużycie paliwa/zużycie energii w cyklu WLTP, emisja CO</w:t>
      </w:r>
      <w:r>
        <w:rPr>
          <w:rFonts w:cs="Arial" w:ascii="Arial" w:hAnsi="Arial"/>
          <w:sz w:val="12"/>
          <w:szCs w:val="12"/>
          <w:vertAlign w:val="subscript"/>
          <w:lang w:val="pl-PL"/>
        </w:rPr>
        <w:t>2</w:t>
      </w:r>
      <w:r>
        <w:rPr>
          <w:rFonts w:cs="Arial" w:ascii="Arial" w:hAnsi="Arial"/>
          <w:sz w:val="12"/>
          <w:szCs w:val="12"/>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różnych producentów.</w:t>
      </w:r>
    </w:p>
    <w:p>
      <w:pPr>
        <w:pStyle w:val="Normal"/>
        <w:spacing w:lineRule="auto" w:line="240" w:before="0" w:after="0"/>
        <w:rPr>
          <w:rFonts w:ascii="Arial" w:hAnsi="Arial" w:cs="Arial"/>
          <w:color w:val="333333"/>
          <w:sz w:val="12"/>
          <w:szCs w:val="12"/>
          <w:shd w:fill="FFFFFF" w:val="clear"/>
          <w:lang w:val="pl-PL"/>
        </w:rPr>
      </w:pPr>
      <w:r>
        <w:rPr>
          <w:rFonts w:cs="Arial" w:ascii="Arial" w:hAnsi="Arial"/>
          <w:color w:val="333333"/>
          <w:sz w:val="12"/>
          <w:szCs w:val="12"/>
          <w:shd w:fill="FFFFFF" w:val="clear"/>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2</w:t>
      </w:r>
      <w:r>
        <w:rPr>
          <w:rFonts w:cs="Arial" w:ascii="Arial" w:hAnsi="Arial"/>
          <w:sz w:val="12"/>
          <w:szCs w:val="12"/>
          <w:lang w:val="pl-PL"/>
        </w:rPr>
        <w:t xml:space="preserve"> 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t xml:space="preserve">3  </w:t>
      </w:r>
      <w:r>
        <w:rPr>
          <w:rFonts w:cs="Arial" w:ascii="Arial" w:hAnsi="Arial"/>
          <w:sz w:val="12"/>
          <w:szCs w:val="12"/>
          <w:lang w:val="pl-PL"/>
        </w:rPr>
        <w:t>Masa przewożonych ładunków ograniczona jest dopuszczalną masą pojazdu i rozkładem tej masy na osie.</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4</w:t>
      </w:r>
      <w:r>
        <w:rPr>
          <w:rFonts w:cs="Arial" w:ascii="Arial" w:hAnsi="Arial"/>
          <w:sz w:val="12"/>
          <w:szCs w:val="12"/>
          <w:lang w:val="pl-PL"/>
        </w:rPr>
        <w:t xml:space="preserve"> Maksymalna zdolność holowania zależy od liczby przewożonych pasażerów, obciążenia w przestrzeni bagażowej, a także od zamontowanych akcesoriów i konfiguracji pojazdu.</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6</w:t>
      </w:r>
      <w:r>
        <w:rPr>
          <w:rFonts w:cs="Arial" w:ascii="Arial" w:hAnsi="Arial"/>
          <w:sz w:val="12"/>
          <w:szCs w:val="12"/>
          <w:lang w:val="pl-PL"/>
        </w:rPr>
        <w:t xml:space="preserve"> Wyposażenie opcjonalne </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6</w:t>
      </w:r>
      <w:r>
        <w:rPr>
          <w:rFonts w:cs="Arial" w:ascii="Arial" w:hAnsi="Arial"/>
          <w:sz w:val="12"/>
          <w:szCs w:val="12"/>
          <w:lang w:val="pl-PL"/>
        </w:rPr>
        <w:t xml:space="preserve"> Czas ładowania podano w oparciu o symulacje komputerowe wykonane przez producenta. Szybkość (prąd) ładowania spada, gdy stopień naładowania akumulatora zbliża się do 100%. Wyniki uzyskiwane przez użytkowników mogą różnić się od podanych wielkości zależnie od czasu ładowania prądem szczytowym i stopnia naładowania akumulatora.</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 xml:space="preserve">7 </w:t>
      </w:r>
      <w:r>
        <w:rPr>
          <w:rFonts w:cs="Arial" w:ascii="Arial" w:hAnsi="Arial"/>
          <w:sz w:val="12"/>
          <w:szCs w:val="12"/>
          <w:lang w:val="pl-PL"/>
        </w:rPr>
        <w:t>FordPass Connect, aplikacja FordPass dla smartfonów i bezpłatne usługi powiązane z komunikacją sieciową są wymagane w przypadku korzystania z funkcji zdalnych (szczegóły można znaleźć w warunkach użytkowania FordPass). Usługi zdalne dla pojazdów skomunikowanych i ich funkcjonowanie zależą od dostępności wybranej sieci. Zmieniająca się technologia / sieci komórkowe / systemy pojazdu mogą ograniczać funkcjonalność i uniemożliwiać działanie usług korzystających z sieci. Usługi dla pojazdów skomunikowanych nie obejmują hotspotu Wi-Fi.</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 xml:space="preserve">8 </w:t>
      </w:r>
      <w:r>
        <w:rPr>
          <w:rFonts w:cs="Arial" w:ascii="Arial" w:hAnsi="Arial"/>
          <w:sz w:val="12"/>
          <w:szCs w:val="12"/>
          <w:lang w:val="pl-PL"/>
        </w:rPr>
        <w:t>Dostępna do pobrania jest aplikacja kompatybilna z wybranymi systemami operacyjnymi. Transfer wiadomości i danych może być obciążony dodatkowymi opłatami.</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9</w:t>
      </w:r>
      <w:r>
        <w:rPr>
          <w:rFonts w:cs="Arial" w:ascii="Arial" w:hAnsi="Arial"/>
          <w:sz w:val="12"/>
          <w:szCs w:val="12"/>
          <w:lang w:val="pl-PL"/>
        </w:rPr>
        <w:t xml:space="preserve"> Usługi nawigacji wymagają: systemu SYNC 4 i FordPass Connect, usługi powiązanej z komunikacją sieciową oraz aplikacji FordPass Pro (szczegóły można znaleźć w warunkach użytkowania FordPass). Zakwalifikowane pojazdy otrzymują bezpłatną 90-dniową wersję próbną usług nawigacji, która rozpoczyna się w dniu rozpoczęcia gwarancji na nowy pojazd. Klienci muszą odblokować wersję próbną usług nawigacji poprzez aktywację zakwalifikowanego pojazdu za pomocą konta członkowskiego FordPass. Dla skomunikowanych usług nawigacyjnych wymagana jest roczna umowa serwisowa. Usługi zdalne dla pojazdów skomunikowanych i ich funkcjonowanie zależą od dostępności wybranej sieci. Zmieniająca się technologia / sieci komórkowe / systemy pojazdu mogą ograniczać funkcjonalność i uniemożliwiać działanie usług korzystających z sieci. Dostępna do pobrania jest aplikacja FordPass, kompatybilna z wybranymi systemami operacyjnymi smartfonów. Transfer wiadomości i danych może być obciążony dodatkowymi opłatami.</w:t>
      </w:r>
    </w:p>
    <w:p>
      <w:pPr>
        <w:pStyle w:val="Normal"/>
        <w:spacing w:lineRule="auto" w:line="240" w:before="0" w:after="0"/>
        <w:rPr>
          <w:rFonts w:ascii="Arial" w:hAnsi="Arial" w:cs="Arial"/>
          <w:sz w:val="12"/>
          <w:szCs w:val="12"/>
          <w:lang w:val="pl-PL"/>
        </w:rPr>
      </w:pPr>
      <w:r>
        <w:rPr>
          <w:rFonts w:cs="Arial" w:ascii="Arial" w:hAnsi="Arial"/>
          <w:sz w:val="12"/>
          <w:szCs w:val="12"/>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10</w:t>
      </w:r>
      <w:r>
        <w:rPr>
          <w:rFonts w:cs="Arial" w:ascii="Arial" w:hAnsi="Arial"/>
          <w:sz w:val="12"/>
          <w:szCs w:val="12"/>
          <w:lang w:val="pl-PL"/>
        </w:rPr>
        <w:t xml:space="preserve"> Systemy asystenckie wspomagające kierowcę są uzupełnieniem jego uwagi, ale nie zastępują oceny sytuacji i konieczności kontrolowania pojazdu przez prowadzącego. Mimo wsparcia systemów należy zachować zasady bezpieczeństwa na drodze. Szczegółowe informacje i ograniczenia znajdują się w instrukcji obsługi.</w:t>
      </w:r>
    </w:p>
    <w:p>
      <w:pPr>
        <w:pStyle w:val="Normal"/>
        <w:spacing w:lineRule="auto" w:line="240" w:before="0" w:after="0"/>
        <w:rPr>
          <w:rFonts w:ascii="Arial" w:hAnsi="Arial" w:cs="Arial"/>
          <w:sz w:val="12"/>
          <w:szCs w:val="12"/>
          <w:lang w:val="pl-PL"/>
        </w:rPr>
      </w:pPr>
      <w:r>
        <w:rPr>
          <w:rFonts w:cs="Arial" w:ascii="Arial" w:hAnsi="Arial"/>
          <w:sz w:val="12"/>
          <w:szCs w:val="12"/>
          <w:lang w:val="pl-PL"/>
        </w:rPr>
      </w:r>
    </w:p>
    <w:p>
      <w:pPr>
        <w:pStyle w:val="Normal"/>
        <w:spacing w:lineRule="auto" w:line="240" w:before="0" w:after="0"/>
        <w:rPr>
          <w:rFonts w:ascii="Arial" w:hAnsi="Arial" w:cs="Arial"/>
          <w:sz w:val="12"/>
          <w:szCs w:val="12"/>
          <w:lang w:val="pl-PL"/>
        </w:rPr>
      </w:pPr>
      <w:r>
        <w:rPr>
          <w:rFonts w:cs="Arial" w:ascii="Arial" w:hAnsi="Arial"/>
          <w:sz w:val="12"/>
          <w:szCs w:val="12"/>
          <w:vertAlign w:val="superscript"/>
          <w:lang w:val="pl-PL"/>
        </w:rPr>
        <w:t>11</w:t>
      </w:r>
      <w:r>
        <w:rPr>
          <w:rFonts w:cs="Arial" w:ascii="Arial" w:hAnsi="Arial"/>
          <w:sz w:val="12"/>
          <w:szCs w:val="12"/>
          <w:lang w:val="pl-PL"/>
        </w:rPr>
        <w:t xml:space="preserve"> Wymaga telefonu z aktywną usługą transmisji danych i kompatybilnym oprogramowaniem. SYNC 4 nie kontroluje produktów innych firm podczas użytkowania. Firmy zewnętrzne ponoszą wyłączną odpowiedzialność za funkcjonalność swoich aplikacji.</w:t>
      </w:r>
    </w:p>
    <w:p>
      <w:pPr>
        <w:pStyle w:val="Normal"/>
        <w:spacing w:lineRule="auto" w:line="240" w:before="0" w:after="0"/>
        <w:rPr>
          <w:rFonts w:ascii="Arial" w:hAnsi="Arial" w:cs="Arial"/>
          <w:sz w:val="12"/>
          <w:szCs w:val="12"/>
          <w:vertAlign w:val="superscript"/>
          <w:lang w:val="pl-PL"/>
        </w:rPr>
      </w:pPr>
      <w:r>
        <w:rPr>
          <w:rFonts w:cs="Arial" w:ascii="Arial" w:hAnsi="Arial"/>
          <w:sz w:val="12"/>
          <w:szCs w:val="12"/>
          <w:vertAlign w:val="superscript"/>
          <w:lang w:val="pl-PL"/>
        </w:rPr>
      </w:r>
    </w:p>
    <w:p>
      <w:pPr>
        <w:pStyle w:val="Tretekstu"/>
        <w:spacing w:lineRule="auto" w:line="240"/>
        <w:rPr>
          <w:rFonts w:ascii="Arial" w:hAnsi="Arial" w:cs="Arial"/>
          <w:sz w:val="12"/>
          <w:szCs w:val="12"/>
          <w:lang w:val="pl-PL"/>
        </w:rPr>
      </w:pPr>
      <w:r>
        <w:rPr>
          <w:rFonts w:cs="Arial" w:ascii="Arial" w:hAnsi="Arial"/>
          <w:color w:val="000000"/>
          <w:sz w:val="12"/>
          <w:szCs w:val="12"/>
          <w:vertAlign w:val="superscript"/>
          <w:lang w:val="pl-PL"/>
        </w:rPr>
        <w:t xml:space="preserve">12 </w:t>
      </w:r>
      <w:r>
        <w:rPr>
          <w:rFonts w:cs="Arial" w:ascii="Arial" w:hAnsi="Arial"/>
          <w:color w:val="000000"/>
          <w:sz w:val="12"/>
          <w:szCs w:val="12"/>
          <w:shd w:fill="FFFFFF" w:val="clear"/>
          <w:lang w:val="pl-PL"/>
        </w:rPr>
        <w:t>Austria, Belgia, Wielka Brytania, Czechy, Dania, Finlandia, Francja, Niemcy, Grecja, Węgry, Irlandia, Włochy, Holandia, Norwegia, Polska, Portugalia, Hiszpania, Rumunia, Szwecja, Szwajcaria i </w:t>
      </w:r>
      <w:r>
        <w:rPr>
          <w:rFonts w:cs="Arial" w:ascii="Arial" w:hAnsi="Arial"/>
          <w:color w:val="000000"/>
          <w:sz w:val="12"/>
          <w:szCs w:val="12"/>
          <w:lang w:val="pl-PL"/>
        </w:rPr>
        <w:t>Turcja</w:t>
      </w:r>
      <w:r>
        <w:rPr>
          <w:rFonts w:cs="Arial" w:ascii="Arial" w:hAnsi="Arial"/>
          <w:color w:val="000000"/>
          <w:sz w:val="12"/>
          <w:szCs w:val="12"/>
          <w:shd w:fill="FFFFFF" w:val="clear"/>
          <w:lang w:val="pl-PL"/>
        </w:rPr>
        <w:t>.</w:t>
      </w:r>
    </w:p>
    <w:p>
      <w:pPr>
        <w:pStyle w:val="BodyText2"/>
        <w:spacing w:lineRule="auto" w:line="240"/>
        <w:rPr>
          <w:rFonts w:ascii="Arial" w:hAnsi="Arial" w:cs="Arial"/>
          <w:color w:val="000000"/>
          <w:sz w:val="22"/>
          <w:szCs w:val="22"/>
        </w:rPr>
      </w:pPr>
      <w:r>
        <w:rPr>
          <w:rFonts w:cs="Arial" w:ascii="Arial" w:hAnsi="Arial"/>
          <w:color w:val="000000"/>
          <w:sz w:val="22"/>
          <w:szCs w:val="22"/>
        </w:rPr>
      </w:r>
    </w:p>
    <w:p>
      <w:pPr>
        <w:pStyle w:val="Normal"/>
        <w:jc w:val="center"/>
        <w:rPr>
          <w:rFonts w:ascii="Arial" w:hAnsi="Arial" w:cs="Arial"/>
          <w:color w:val="000000"/>
        </w:rPr>
      </w:pPr>
      <w:r>
        <w:rPr>
          <w:rFonts w:cs="Arial" w:ascii="Arial" w:hAnsi="Arial"/>
          <w:color w:val="000000"/>
        </w:rPr>
        <w:t># # #</w:t>
      </w:r>
    </w:p>
    <w:p>
      <w:pPr>
        <w:pStyle w:val="Normal"/>
        <w:rPr>
          <w:rFonts w:ascii="Arial" w:hAnsi="Arial" w:cs="Arial"/>
          <w:i/>
          <w:i/>
          <w:iCs/>
          <w:color w:val="000000"/>
          <w:szCs w:val="20"/>
        </w:rPr>
      </w:pPr>
      <w:r>
        <w:rPr>
          <w:rFonts w:cs="Arial" w:ascii="Arial" w:hAnsi="Arial"/>
          <w:i/>
          <w:iCs/>
          <w:color w:val="000000"/>
          <w:szCs w:val="20"/>
        </w:rPr>
      </w:r>
      <w:bookmarkStart w:id="0" w:name="_Hlk38031302"/>
      <w:bookmarkStart w:id="1" w:name="_Hlk38031302"/>
      <w:bookmarkEnd w:id="1"/>
    </w:p>
    <w:p>
      <w:pPr>
        <w:pStyle w:val="Normal"/>
        <w:jc w:val="both"/>
        <w:rPr/>
      </w:pPr>
      <w:r>
        <w:rPr>
          <w:rFonts w:cs="Arial" w:ascii="Arial" w:hAnsi="Arial"/>
          <w:b/>
          <w:bCs/>
          <w:i/>
          <w:iCs/>
          <w:color w:val="000000"/>
          <w:sz w:val="18"/>
          <w:szCs w:val="18"/>
        </w:rPr>
        <w:t>Ford</w:t>
      </w:r>
      <w:r>
        <w:rPr>
          <w:rFonts w:cs="Arial" w:ascii="Arial" w:hAnsi="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w:t>
      </w:r>
      <w:r>
        <w:rPr>
          <w:rFonts w:cs="Arial" w:ascii="Arial" w:hAnsi="Arial"/>
          <w:i/>
          <w:iCs/>
          <w:color w:val="000000"/>
          <w:sz w:val="18"/>
          <w:szCs w:val="18"/>
          <w:lang w:val="pl-PL"/>
        </w:rPr>
        <w:t>6</w:t>
      </w:r>
      <w:r>
        <w:rPr>
          <w:rFonts w:cs="Arial" w:ascii="Arial" w:hAnsi="Arial"/>
          <w:i/>
          <w:iCs/>
          <w:color w:val="000000"/>
          <w:sz w:val="18"/>
          <w:szCs w:val="18"/>
        </w:rPr>
        <w:t xml:space="preserve"> tys. osób, po uwzględnieniu działalności nieskonsolidowanej. Więcej informacji na temat Forda, produktów firmy oraz oddziału Ford Credit na stronie corporate.ford.com.</w:t>
      </w:r>
    </w:p>
    <w:p>
      <w:pPr>
        <w:pStyle w:val="Normal"/>
        <w:jc w:val="both"/>
        <w:rPr>
          <w:rFonts w:ascii="Arial" w:hAnsi="Arial" w:cs="Arial"/>
          <w:i/>
          <w:i/>
          <w:iCs/>
          <w:color w:val="000000"/>
          <w:sz w:val="18"/>
          <w:szCs w:val="18"/>
        </w:rPr>
      </w:pPr>
      <w:r>
        <w:rPr>
          <w:rFonts w:cs="Arial" w:ascii="Arial" w:hAnsi="Arial"/>
          <w:i/>
          <w:iCs/>
          <w:color w:val="000000"/>
          <w:sz w:val="18"/>
          <w:szCs w:val="18"/>
        </w:rPr>
      </w:r>
      <w:bookmarkStart w:id="2" w:name="_Hlk51939606"/>
      <w:bookmarkStart w:id="3" w:name="_Hlk21420256"/>
      <w:bookmarkStart w:id="4" w:name="_Hlk51939606"/>
      <w:bookmarkStart w:id="5" w:name="_Hlk21420256"/>
      <w:bookmarkEnd w:id="4"/>
      <w:bookmarkEnd w:id="5"/>
    </w:p>
    <w:tbl>
      <w:tblPr>
        <w:tblW w:w="9360" w:type="dxa"/>
        <w:jc w:val="left"/>
        <w:tblInd w:w="0" w:type="dxa"/>
        <w:tblLayout w:type="fixed"/>
        <w:tblCellMar>
          <w:top w:w="0" w:type="dxa"/>
          <w:left w:w="108" w:type="dxa"/>
          <w:bottom w:w="0" w:type="dxa"/>
          <w:right w:w="108" w:type="dxa"/>
        </w:tblCellMar>
      </w:tblPr>
      <w:tblGrid>
        <w:gridCol w:w="1373"/>
        <w:gridCol w:w="7986"/>
      </w:tblGrid>
      <w:tr>
        <w:trPr/>
        <w:tc>
          <w:tcPr>
            <w:tcW w:w="1373" w:type="dxa"/>
            <w:tcBorders/>
          </w:tcPr>
          <w:p>
            <w:pPr>
              <w:pStyle w:val="Normal"/>
              <w:widowControl w:val="false"/>
              <w:suppressAutoHyphens w:val="true"/>
              <w:spacing w:lineRule="auto" w:line="240" w:before="0" w:after="0"/>
              <w:rPr>
                <w:rFonts w:ascii="Arial" w:hAnsi="Arial" w:eastAsia="Times New Roman" w:cs="Arial"/>
                <w:b/>
                <w:b/>
                <w:color w:val="000000"/>
                <w:lang w:eastAsia="zh-CN"/>
              </w:rPr>
            </w:pPr>
            <w:r>
              <w:rPr>
                <w:rFonts w:eastAsia="Times New Roman" w:cs="Arial" w:ascii="Arial" w:hAnsi="Arial"/>
                <w:b/>
                <w:color w:val="000000"/>
                <w:lang w:eastAsia="zh-CN"/>
              </w:rPr>
              <w:t>Kontakt:</w:t>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zh-CN"/>
              </w:rPr>
            </w:pPr>
            <w:r>
              <w:rPr>
                <w:rFonts w:eastAsia="Times New Roman" w:cs="Arial" w:ascii="Arial" w:hAnsi="Arial"/>
                <w:color w:val="000000"/>
                <w:lang w:eastAsia="zh-CN"/>
              </w:rPr>
              <w:t>Mariusz Jasiński</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ar-SA" w:bidi="hi-IN"/>
              </w:rPr>
            </w:pPr>
            <w:r>
              <w:rPr>
                <w:rFonts w:eastAsia="Times New Roman" w:cs="Arial" w:ascii="Arial" w:hAnsi="Arial"/>
                <w:color w:val="000000"/>
                <w:lang w:eastAsia="ar-SA" w:bidi="hi-IN"/>
              </w:rPr>
              <w:t xml:space="preserve">Ford Polska Sp. z o.o.  </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rFonts w:ascii="Arial" w:hAnsi="Arial" w:eastAsia="Times New Roman" w:cs="Arial"/>
                <w:color w:val="000000"/>
                <w:lang w:eastAsia="ar-SA" w:bidi="hi-IN"/>
              </w:rPr>
            </w:pPr>
            <w:r>
              <w:rPr>
                <w:rFonts w:eastAsia="Times New Roman" w:cs="Arial" w:ascii="Arial" w:hAnsi="Arial"/>
                <w:color w:val="000000"/>
                <w:lang w:eastAsia="ar-SA" w:bidi="hi-IN"/>
              </w:rPr>
              <w:t xml:space="preserve">(22) 6086815   </w:t>
            </w:r>
          </w:p>
        </w:tc>
      </w:tr>
      <w:tr>
        <w:trPr/>
        <w:tc>
          <w:tcPr>
            <w:tcW w:w="1373" w:type="dxa"/>
            <w:tcBorders/>
          </w:tcPr>
          <w:p>
            <w:pPr>
              <w:pStyle w:val="Normal"/>
              <w:widowControl w:val="false"/>
              <w:suppressAutoHyphens w:val="true"/>
              <w:spacing w:lineRule="auto" w:line="240" w:before="0" w:after="0"/>
              <w:rPr>
                <w:rFonts w:ascii="Arial" w:hAnsi="Arial" w:eastAsia="Times New Roman" w:cs="Arial"/>
                <w:color w:val="000000"/>
                <w:sz w:val="20"/>
                <w:szCs w:val="20"/>
                <w:lang w:eastAsia="zh-CN"/>
              </w:rPr>
            </w:pPr>
            <w:r>
              <w:rPr>
                <w:rFonts w:eastAsia="Times New Roman" w:cs="Arial" w:ascii="Arial" w:hAnsi="Arial"/>
                <w:color w:val="000000"/>
                <w:sz w:val="20"/>
                <w:szCs w:val="20"/>
                <w:lang w:eastAsia="zh-CN"/>
              </w:rPr>
            </w:r>
          </w:p>
        </w:tc>
        <w:tc>
          <w:tcPr>
            <w:tcW w:w="7986" w:type="dxa"/>
            <w:tcBorders/>
          </w:tcPr>
          <w:p>
            <w:pPr>
              <w:pStyle w:val="Normal"/>
              <w:widowControl w:val="false"/>
              <w:suppressAutoHyphens w:val="true"/>
              <w:spacing w:lineRule="auto" w:line="240" w:before="0" w:after="0"/>
              <w:rPr/>
            </w:pPr>
            <w:hyperlink r:id="rId6">
              <w:r>
                <w:rPr>
                  <w:rFonts w:eastAsia="Times New Roman" w:cs="Arial" w:ascii="Arial" w:hAnsi="Arial"/>
                  <w:color w:val="000000"/>
                  <w:u w:val="single"/>
                  <w:lang w:eastAsia="ar-SA"/>
                </w:rPr>
                <w:t>mjasinsk@ford.com</w:t>
              </w:r>
            </w:hyperlink>
          </w:p>
          <w:p>
            <w:pPr>
              <w:pStyle w:val="Normal"/>
              <w:widowControl w:val="false"/>
              <w:suppressAutoHyphens w:val="true"/>
              <w:spacing w:lineRule="auto" w:line="240" w:before="0" w:after="0"/>
              <w:rPr>
                <w:rFonts w:ascii="Times New Roman" w:hAnsi="Times New Roman" w:eastAsia="Times New Roman" w:cs="Times New Roman"/>
                <w:color w:val="000000"/>
                <w:sz w:val="20"/>
                <w:szCs w:val="24"/>
                <w:lang w:eastAsia="zh-CN"/>
              </w:rPr>
            </w:pPr>
            <w:r>
              <w:rPr>
                <w:rFonts w:eastAsia="Times New Roman" w:cs="Times New Roman" w:ascii="Times New Roman" w:hAnsi="Times New Roman"/>
                <w:color w:val="000000"/>
                <w:sz w:val="20"/>
                <w:szCs w:val="24"/>
                <w:lang w:eastAsia="zh-CN"/>
              </w:rPr>
            </w:r>
          </w:p>
        </w:tc>
      </w:tr>
    </w:tbl>
    <w:p>
      <w:pPr>
        <w:pStyle w:val="Normal"/>
        <w:spacing w:lineRule="auto" w:line="240"/>
        <w:rPr>
          <w:rFonts w:ascii="Arial" w:hAnsi="Arial" w:cs="Arial"/>
          <w:i/>
          <w:i/>
          <w:iCs/>
          <w:color w:val="000000"/>
          <w:szCs w:val="20"/>
        </w:rPr>
      </w:pPr>
      <w:r>
        <w:rPr>
          <w:rFonts w:cs="Arial" w:ascii="Arial" w:hAnsi="Arial"/>
          <w:i/>
          <w:iCs/>
          <w:color w:val="000000"/>
          <w:szCs w:val="20"/>
        </w:rPr>
      </w:r>
    </w:p>
    <w:p>
      <w:pPr>
        <w:pStyle w:val="Normal"/>
        <w:widowControl/>
        <w:bidi w:val="0"/>
        <w:spacing w:lineRule="auto" w:line="259" w:before="0" w:after="160"/>
        <w:jc w:val="left"/>
        <w:rPr/>
      </w:pPr>
      <w:r>
        <w:rPr/>
      </w:r>
    </w:p>
    <w:sectPr>
      <w:headerReference w:type="default" r:id="rId7"/>
      <w:footerReference w:type="default" r:id="rId8"/>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ans">
    <w:altName w:val="Arial"/>
    <w:charset w:val="01"/>
    <w:family w:val="roman"/>
    <w:pitch w:val="default"/>
  </w:font>
  <w:font w:name="Century">
    <w:charset w:val="01"/>
    <w:family w:val="roman"/>
    <w:pitch w:val="default"/>
  </w:font>
  <w:font w:name="Arial">
    <w:charset w:val="01"/>
    <w:family w:val="roman"/>
    <w:pitch w:val="default"/>
  </w:font>
  <w:font w:name="Book Antiqua">
    <w:charset w:val="01"/>
    <w:family w:val="roman"/>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rPr/>
    </w:pPr>
    <w:r>
      <w:rPr/>
    </w:r>
  </w:p>
  <w:p>
    <w:pPr>
      <w:pStyle w:val="Normal"/>
      <w:jc w:val="center"/>
      <w:rPr/>
    </w:pPr>
    <w:r>
      <w:rPr>
        <w:rFonts w:eastAsia="Calibri" w:cs="Arial" w:ascii="Arial" w:hAnsi="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sz w:val="18"/>
          <w:szCs w:val="18"/>
        </w:rPr>
        <w:t>fordmedia.pl</w:t>
      </w:r>
    </w:hyperlink>
    <w:r>
      <w:rPr>
        <w:rFonts w:eastAsia="Calibri" w:cs="Arial" w:ascii="Arial" w:hAnsi="Arial"/>
        <w:color w:val="000000"/>
        <w:sz w:val="18"/>
        <w:szCs w:val="18"/>
      </w:rPr>
      <w:t xml:space="preserve"> lub </w:t>
    </w:r>
    <w:hyperlink r:id="rId2">
      <w:r>
        <w:rPr>
          <w:rStyle w:val="Czeinternetowe"/>
          <w:rFonts w:eastAsia="Calibri" w:cs="Arial" w:ascii="Arial" w:hAnsi="Arial"/>
          <w:sz w:val="18"/>
          <w:szCs w:val="18"/>
        </w:rPr>
        <w:t>media.ford.com.</w:t>
      </w:r>
    </w:hyperlink>
  </w:p>
  <w:p>
    <w:pPr>
      <w:pStyle w:val="Stopka1"/>
      <w:jc w:val="center"/>
      <w:rPr/>
    </w:pPr>
    <w:r>
      <w:rPr>
        <w:rFonts w:eastAsia="Calibri" w:cs="Arial" w:ascii="Arial" w:hAnsi="Arial"/>
        <w:color w:val="000000"/>
        <w:sz w:val="18"/>
        <w:szCs w:val="18"/>
      </w:rPr>
      <w:t xml:space="preserve">Śledź nas na: </w:t>
    </w:r>
    <w:hyperlink r:id="rId3">
      <w:r>
        <w:rPr>
          <w:rStyle w:val="Czeinternetowe"/>
          <w:rFonts w:eastAsia="Calibri" w:cs="Arial" w:ascii="Arial" w:hAnsi="Arial"/>
          <w:sz w:val="18"/>
          <w:szCs w:val="18"/>
        </w:rPr>
        <w:t>twitter.com/FordPolska</w:t>
      </w:r>
    </w:hyperlink>
    <w:r>
      <w:rPr>
        <w:rFonts w:eastAsia="Calibri" w:cs="Arial" w:ascii="Arial" w:hAnsi="Arial"/>
        <w:color w:val="000000"/>
        <w:sz w:val="18"/>
        <w:szCs w:val="18"/>
      </w:rPr>
      <w:t xml:space="preserve"> lub </w:t>
    </w:r>
    <w:hyperlink r:id="rId4">
      <w:r>
        <w:rPr>
          <w:rStyle w:val="Czeinternetowe"/>
          <w:rFonts w:eastAsia="Calibri" w:cs="Arial" w:ascii="Arial" w:hAnsi="Arial"/>
          <w:sz w:val="18"/>
          <w:szCs w:val="18"/>
        </w:rPr>
        <w:t>youtube.com/fordpolska</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left" w:pos="1483" w:leader="none"/>
        <w:tab w:val="left" w:pos="2525" w:leader="none"/>
        <w:tab w:val="center" w:pos="4513" w:leader="none"/>
        <w:tab w:val="right" w:pos="9026" w:leader="none"/>
      </w:tabs>
      <w:bidi w:val="0"/>
      <w:spacing w:lineRule="auto" w:line="240" w:before="0" w:after="0"/>
      <w:ind w:left="680" w:right="0" w:hanging="0"/>
      <w:jc w:val="left"/>
      <w:rPr>
        <w:rFonts w:ascii="Book Antiqua" w:hAnsi="Book Antiqua"/>
        <w:smallCaps/>
        <w:sz w:val="36"/>
        <w:szCs w:val="36"/>
      </w:rPr>
    </w:pPr>
    <w:r>
      <mc:AlternateContent>
        <mc:Choice Requires="wps">
          <w:drawing>
            <wp:anchor behindDoc="1" distT="0" distB="4445" distL="114300" distR="128270" simplePos="0" locked="0" layoutInCell="0" allowOverlap="1" relativeHeight="14">
              <wp:simplePos x="0" y="0"/>
              <wp:positionH relativeFrom="column">
                <wp:posOffset>4179570</wp:posOffset>
              </wp:positionH>
              <wp:positionV relativeFrom="paragraph">
                <wp:posOffset>45720</wp:posOffset>
              </wp:positionV>
              <wp:extent cx="1245235" cy="511810"/>
              <wp:effectExtent l="0" t="0" r="0" b="0"/>
              <wp:wrapSquare wrapText="bothSides"/>
              <wp:docPr id="1" name="Text Box 8"/>
              <a:graphic xmlns:a="http://schemas.openxmlformats.org/drawingml/2006/main">
                <a:graphicData uri="http://schemas.microsoft.com/office/word/2010/wordprocessingShape">
                  <wps:wsp>
                    <wps:cNvSpPr/>
                    <wps:spPr>
                      <a:xfrm>
                        <a:off x="0" y="0"/>
                        <a:ext cx="1244520" cy="511200"/>
                      </a:xfrm>
                      <a:prstGeom prst="rect">
                        <a:avLst/>
                      </a:prstGeom>
                      <a:noFill/>
                      <a:ln w="0">
                        <a:noFill/>
                      </a:ln>
                    </wps:spPr>
                    <wps:style>
                      <a:lnRef idx="0"/>
                      <a:fillRef idx="0"/>
                      <a:effectRef idx="0"/>
                      <a:fontRef idx="minor"/>
                    </wps:style>
                    <wps:txbx>
                      <w:txbxContent>
                        <w:p>
                          <w:pPr>
                            <w:pStyle w:val="Zawartoramki"/>
                            <w:jc w:val="center"/>
                            <w:rPr/>
                          </w:pPr>
                          <w:r>
                            <w:rPr/>
                            <w:drawing>
                              <wp:inline distT="0" distB="0" distL="0" distR="0">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2">
                            <w:r>
                              <w:rPr>
                                <w:rStyle w:val="Czeinternetowe"/>
                                <w:rFonts w:cs="Arial" w:ascii="Arial" w:hAnsi="Arial"/>
                                <w:color w:val="000000"/>
                                <w:sz w:val="12"/>
                                <w:szCs w:val="12"/>
                              </w:rPr>
                              <w:t>www.youtube.com/fordpolska</w:t>
                            </w:r>
                          </w:hyperlink>
                        </w:p>
                      </w:txbxContent>
                    </wps:txbx>
                    <wps:bodyPr lIns="0" rIns="0" tIns="0" bIns="0">
                      <a:noAutofit/>
                    </wps:bodyPr>
                  </wps:wsp>
                </a:graphicData>
              </a:graphic>
            </wp:anchor>
          </w:drawing>
        </mc:Choice>
        <mc:Fallback>
          <w:pict>
            <v:rect id="shape_0" ID="Text Box 8" path="m0,0l-2147483645,0l-2147483645,-2147483646l0,-2147483646xe" stroked="f" style="position:absolute;margin-left:329.1pt;margin-top:3.6pt;width:97.95pt;height:40.2pt;mso-wrap-style:square;v-text-anchor:top">
              <v:fill o:detectmouseclick="t" on="false"/>
              <v:stroke color="#3465a4" joinstyle="round" endcap="flat"/>
              <v:textbox>
                <w:txbxContent>
                  <w:p>
                    <w:pPr>
                      <w:pStyle w:val="Zawartoramki"/>
                      <w:jc w:val="center"/>
                      <w:rPr/>
                    </w:pPr>
                    <w:r>
                      <w:rPr/>
                      <w:drawing>
                        <wp:inline distT="0" distB="0" distL="0" distR="0">
                          <wp:extent cx="1200785"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cs="Arial" w:ascii="Arial" w:hAnsi="Arial"/>
                        <w:color w:val="000000"/>
                        <w:sz w:val="18"/>
                        <w:szCs w:val="18"/>
                      </w:rPr>
                      <w:br/>
                    </w:r>
                    <w:r>
                      <w:rPr>
                        <w:rFonts w:cs="Arial" w:ascii="Arial" w:hAnsi="Arial"/>
                        <w:color w:val="000000"/>
                        <w:sz w:val="4"/>
                        <w:szCs w:val="4"/>
                      </w:rPr>
                      <w:br/>
                    </w:r>
                    <w:hyperlink r:id="rId3">
                      <w:r>
                        <w:rPr>
                          <w:rStyle w:val="Czeinternetowe"/>
                          <w:rFonts w:cs="Arial" w:ascii="Arial" w:hAnsi="Arial"/>
                          <w:color w:val="000000"/>
                          <w:sz w:val="12"/>
                          <w:szCs w:val="12"/>
                        </w:rPr>
                        <w:t>www.youtube.com/fordpolska</w:t>
                      </w:r>
                    </w:hyperlink>
                  </w:p>
                </w:txbxContent>
              </v:textbox>
              <w10:wrap type="square"/>
            </v:rect>
          </w:pict>
        </mc:Fallback>
      </mc:AlternateContent>
      <mc:AlternateContent>
        <mc:Choice Requires="wps">
          <w:drawing>
            <wp:anchor behindDoc="1" distT="0" distB="1270" distL="114300" distR="120015" simplePos="0" locked="0" layoutInCell="0" allowOverlap="1" relativeHeight="28">
              <wp:simplePos x="0" y="0"/>
              <wp:positionH relativeFrom="column">
                <wp:posOffset>5419725</wp:posOffset>
              </wp:positionH>
              <wp:positionV relativeFrom="paragraph">
                <wp:posOffset>58420</wp:posOffset>
              </wp:positionV>
              <wp:extent cx="1177290" cy="457835"/>
              <wp:effectExtent l="0" t="0" r="0" b="0"/>
              <wp:wrapSquare wrapText="bothSides"/>
              <wp:docPr id="5" name="Text Box 9"/>
              <a:graphic xmlns:a="http://schemas.openxmlformats.org/drawingml/2006/main">
                <a:graphicData uri="http://schemas.microsoft.com/office/word/2010/wordprocessingShape">
                  <wps:wsp>
                    <wps:cNvSpPr/>
                    <wps:spPr>
                      <a:xfrm>
                        <a:off x="0" y="0"/>
                        <a:ext cx="1176480" cy="457200"/>
                      </a:xfrm>
                      <a:prstGeom prst="rect">
                        <a:avLst/>
                      </a:prstGeom>
                      <a:noFill/>
                      <a:ln w="0">
                        <a:noFill/>
                      </a:ln>
                    </wps:spPr>
                    <wps:style>
                      <a:lnRef idx="0"/>
                      <a:fillRef idx="0"/>
                      <a:effectRef idx="0"/>
                      <a:fontRef idx="minor"/>
                    </wps:style>
                    <wps:txbx>
                      <w:txbxContent>
                        <w:p>
                          <w:pPr>
                            <w:pStyle w:val="Zawartoramki"/>
                            <w:jc w:val="center"/>
                            <w:rPr/>
                          </w:pPr>
                          <w:r>
                            <w:rPr/>
                            <w:drawing>
                              <wp:inline distT="0" distB="0" distL="0" distR="0">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5">
                            <w:r>
                              <w:rPr>
                                <w:rStyle w:val="Czeinternetowe"/>
                                <w:rFonts w:eastAsia="Calibri" w:cs="Arial" w:ascii="Arial" w:hAnsi="Arial"/>
                                <w:sz w:val="12"/>
                                <w:szCs w:val="12"/>
                              </w:rPr>
                              <w:t>twitter.com/FordPolska</w:t>
                            </w:r>
                          </w:hyperlink>
                        </w:p>
                      </w:txbxContent>
                    </wps:txbx>
                    <wps:bodyPr lIns="0" rIns="0" tIns="0" bIns="0">
                      <a:noAutofit/>
                    </wps:bodyPr>
                  </wps:wsp>
                </a:graphicData>
              </a:graphic>
            </wp:anchor>
          </w:drawing>
        </mc:Choice>
        <mc:Fallback>
          <w:pict>
            <v:rect id="shape_0" ID="Text Box 9" path="m0,0l-2147483645,0l-2147483645,-2147483646l0,-2147483646xe" stroked="f" style="position:absolute;margin-left:426.75pt;margin-top:4.6pt;width:92.6pt;height:35.95pt;mso-wrap-style:square;v-text-anchor:top">
              <v:fill o:detectmouseclick="t" on="false"/>
              <v:stroke color="#3465a4" joinstyle="round" endcap="flat"/>
              <v:textbox>
                <w:txbxContent>
                  <w:p>
                    <w:pPr>
                      <w:pStyle w:val="Zawartoramki"/>
                      <w:jc w:val="center"/>
                      <w:rPr/>
                    </w:pPr>
                    <w:r>
                      <w:rPr/>
                      <w:drawing>
                        <wp:inline distT="0" distB="0" distL="0" distR="0">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pPr>
                      <w:pStyle w:val="Zawartoramki"/>
                      <w:jc w:val="center"/>
                      <w:rPr/>
                    </w:pPr>
                    <w:hyperlink r:id="rId6">
                      <w:r>
                        <w:rPr>
                          <w:rStyle w:val="Czeinternetowe"/>
                          <w:rFonts w:eastAsia="Calibri" w:cs="Arial" w:ascii="Arial" w:hAnsi="Arial"/>
                          <w:sz w:val="12"/>
                          <w:szCs w:val="12"/>
                        </w:rPr>
                        <w:t>twitter.com/FordPolska</w:t>
                      </w:r>
                    </w:hyperlink>
                  </w:p>
                </w:txbxContent>
              </v:textbox>
              <w10:wrap type="square"/>
            </v:rect>
          </w:pict>
        </mc:Fallback>
      </mc:AlternateContent>
      <w:drawing>
        <wp:anchor behindDoc="1" distT="0" distB="0" distL="114300" distR="114300" simplePos="0" locked="0" layoutInCell="0" allowOverlap="1" relativeHeight="35">
          <wp:simplePos x="0" y="0"/>
          <wp:positionH relativeFrom="column">
            <wp:posOffset>-446405</wp:posOffset>
          </wp:positionH>
          <wp:positionV relativeFrom="paragraph">
            <wp:posOffset>-90170</wp:posOffset>
          </wp:positionV>
          <wp:extent cx="1098550" cy="546100"/>
          <wp:effectExtent l="0" t="0" r="0" b="0"/>
          <wp:wrapSquare wrapText="bothSides"/>
          <wp:docPr id="9"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w:t>
    </w:r>
    <w:r>
      <w:rPr>
        <w:rFonts w:ascii="Book Antiqua" w:hAnsi="Book Antiqua"/>
        <w:smallCaps/>
        <w:position w:val="132"/>
        <w:sz w:val="36"/>
        <w:szCs w:val="36"/>
        <w:lang w:val="pl-PL"/>
      </w:rPr>
      <w:t>FACT  FILE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mailMerge>
    <w:mainDocumentType w:val="formLetters"/>
    <w:dataType w:val="textFile"/>
    <w:query w:val="SELECT * FROM Adresy1.dbo.Arkusz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pl-PL" w:eastAsia="en-US" w:bidi="ar-SA"/>
    </w:rPr>
  </w:style>
  <w:style w:type="character" w:styleId="DefaultParagraphFont">
    <w:name w:val="Default Paragraph Font"/>
    <w:qFormat/>
    <w:rPr/>
  </w:style>
  <w:style w:type="character" w:styleId="HeaderChar">
    <w:name w:val="Header Char"/>
    <w:basedOn w:val="DefaultParagraphFont"/>
    <w:qFormat/>
    <w:rPr>
      <w:lang w:val="pl-PL"/>
    </w:rPr>
  </w:style>
  <w:style w:type="character" w:styleId="FooterChar">
    <w:name w:val="Footer Char"/>
    <w:basedOn w:val="DefaultParagraphFont"/>
    <w:qFormat/>
    <w:rPr>
      <w:lang w:val="pl-PL"/>
    </w:rPr>
  </w:style>
  <w:style w:type="character" w:styleId="Czeinternetowe">
    <w:name w:val="Łącze internetowe"/>
    <w:basedOn w:val="DefaultParagraphFont"/>
    <w:rPr>
      <w:rFonts w:cs="Times New Roman"/>
      <w:color w:val="0000FF"/>
      <w:u w:val="single"/>
    </w:rPr>
  </w:style>
  <w:style w:type="character" w:styleId="BodyText2Char">
    <w:name w:val="Body Text 2 Char"/>
    <w:basedOn w:val="DefaultParagraphFont"/>
    <w:qFormat/>
    <w:rPr>
      <w:rFonts w:ascii="Times New Roman" w:hAnsi="Times New Roman" w:eastAsia="Times New Roman" w:cs="Times New Roman"/>
      <w:sz w:val="24"/>
      <w:szCs w:val="20"/>
      <w:lang w:val="pl-PL" w:eastAsia="zh-CN"/>
    </w:rPr>
  </w:style>
  <w:style w:type="paragraph" w:styleId="Nagwek">
    <w:name w:val="Nagłówek"/>
    <w:basedOn w:val="Normal"/>
    <w:next w:val="Tretekstu"/>
    <w:qFormat/>
    <w:pPr>
      <w:keepNext w:val="true"/>
      <w:spacing w:before="240" w:after="120"/>
    </w:pPr>
    <w:rPr>
      <w:rFonts w:ascii="Liberation Sans;Arial" w:hAnsi="Liberation Sans;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entury" w:hAnsi="Century" w:cs="Arial Unicode MS"/>
    </w:rPr>
  </w:style>
  <w:style w:type="paragraph" w:styleId="Podpis">
    <w:name w:val="Caption"/>
    <w:basedOn w:val="Normal"/>
    <w:qFormat/>
    <w:pPr>
      <w:suppressLineNumbers/>
      <w:spacing w:before="120" w:after="120"/>
    </w:pPr>
    <w:rPr>
      <w:rFonts w:ascii="Century" w:hAnsi="Century" w:cs="Arial Unicode MS"/>
      <w:i/>
      <w:iCs/>
      <w:sz w:val="24"/>
      <w:szCs w:val="24"/>
    </w:rPr>
  </w:style>
  <w:style w:type="paragraph" w:styleId="Indeks">
    <w:name w:val="Indeks"/>
    <w:basedOn w:val="Normal"/>
    <w:qFormat/>
    <w:pPr>
      <w:suppressLineNumbers/>
    </w:pPr>
    <w:rPr>
      <w:rFonts w:ascii="Century" w:hAnsi="Century" w:cs="Arial Unicode MS"/>
    </w:rPr>
  </w:style>
  <w:style w:type="paragraph" w:styleId="Gwkaistopka">
    <w:name w:val="Główka i stopka"/>
    <w:basedOn w:val="Normal"/>
    <w:qFormat/>
    <w:pPr/>
    <w:rPr/>
  </w:style>
  <w:style w:type="paragraph" w:styleId="Gwka">
    <w:name w:val="Header"/>
    <w:basedOn w:val="Normal"/>
    <w:pPr>
      <w:tabs>
        <w:tab w:val="clear" w:pos="720"/>
        <w:tab w:val="center" w:pos="4513" w:leader="none"/>
        <w:tab w:val="right" w:pos="9026" w:leader="none"/>
      </w:tabs>
      <w:spacing w:lineRule="auto" w:line="240" w:before="0" w:after="0"/>
    </w:pPr>
    <w:rPr/>
  </w:style>
  <w:style w:type="paragraph" w:styleId="Stopka">
    <w:name w:val="Footer"/>
    <w:basedOn w:val="Normal"/>
    <w:pPr>
      <w:tabs>
        <w:tab w:val="clear" w:pos="720"/>
        <w:tab w:val="center" w:pos="4513" w:leader="none"/>
        <w:tab w:val="right" w:pos="9026" w:leader="none"/>
      </w:tabs>
      <w:spacing w:lineRule="auto" w:line="240" w:before="0" w:after="0"/>
    </w:pPr>
    <w:rPr/>
  </w:style>
  <w:style w:type="paragraph" w:styleId="Zawartoramki">
    <w:name w:val="Zawartość ramki"/>
    <w:basedOn w:val="Normal"/>
    <w:qFormat/>
    <w:pPr>
      <w:suppressAutoHyphens w:val="true"/>
      <w:spacing w:lineRule="auto" w:line="240" w:before="0" w:after="0"/>
    </w:pPr>
    <w:rPr>
      <w:rFonts w:ascii="Times New Roman" w:hAnsi="Times New Roman" w:eastAsia="Times New Roman" w:cs="Times New Roman"/>
      <w:sz w:val="20"/>
      <w:szCs w:val="24"/>
      <w:lang w:eastAsia="zh-CN"/>
    </w:rPr>
  </w:style>
  <w:style w:type="paragraph" w:styleId="Stopka1">
    <w:name w:val="Stopka1"/>
    <w:basedOn w:val="Normal"/>
    <w:qFormat/>
    <w:pPr>
      <w:tabs>
        <w:tab w:val="clear" w:pos="720"/>
        <w:tab w:val="center" w:pos="4320" w:leader="none"/>
        <w:tab w:val="right" w:pos="8640" w:leader="none"/>
      </w:tabs>
      <w:suppressAutoHyphens w:val="true"/>
      <w:spacing w:lineRule="auto" w:line="240" w:before="0" w:after="0"/>
    </w:pPr>
    <w:rPr>
      <w:rFonts w:ascii="Times New Roman" w:hAnsi="Times New Roman" w:eastAsia="Times New Roman" w:cs="Times New Roman"/>
      <w:sz w:val="20"/>
      <w:szCs w:val="24"/>
      <w:lang w:eastAsia="zh-CN"/>
    </w:rPr>
  </w:style>
  <w:style w:type="paragraph" w:styleId="BodyText2">
    <w:name w:val="Body Text 2"/>
    <w:basedOn w:val="Normal"/>
    <w:qFormat/>
    <w:pPr>
      <w:suppressAutoHyphens w:val="true"/>
      <w:spacing w:lineRule="auto" w:line="360" w:before="0" w:after="0"/>
    </w:pPr>
    <w:rPr>
      <w:rFonts w:ascii="Times New Roman" w:hAnsi="Times New Roman" w:eastAsia="Times New Roman" w:cs="Times New Roman"/>
      <w:sz w:val="24"/>
      <w:szCs w:val="20"/>
      <w:lang w:eastAsia="zh-CN"/>
    </w:rPr>
  </w:style>
  <w:style w:type="paragraph" w:styleId="Zawartotabeli">
    <w:name w:val="Zawartość tabeli"/>
    <w:basedOn w:val="Normal"/>
    <w:qFormat/>
    <w:pPr>
      <w:widowControl w:val="false"/>
      <w:suppressLineNumbers/>
    </w:pPr>
    <w:rPr/>
  </w:style>
  <w:style w:type="paragraph" w:styleId="ListParagraph">
    <w:name w:val="List Paragraph"/>
    <w:basedOn w:val="Normal"/>
    <w:qFormat/>
    <w:pPr>
      <w:spacing w:before="0" w:after="160"/>
      <w:ind w:left="72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a.ford.com/content/fordmedia/feu/en/news/2021/10/12/ford-unveils-all-new-tourneo-connect-multi-activity-vehicle-with.html" TargetMode="External"/><Relationship Id="rId3" Type="http://schemas.openxmlformats.org/officeDocument/2006/relationships/hyperlink" Target="https://media.ford.com/content/fordmedia/feu/en/news/2022/11/22/ford-pro-reveals-all-electric-e-tourneo-custom-multi-activity-ve.html" TargetMode="External"/><Relationship Id="rId4" Type="http://schemas.openxmlformats.org/officeDocument/2006/relationships/hyperlink" Target="https://media.ford.com/content/fordmedia/feu/en/news/2020/01/13/welcome-to-the-future--connected-car-technology-now-warns-driver.html" TargetMode="External"/><Relationship Id="rId5" Type="http://schemas.openxmlformats.org/officeDocument/2006/relationships/hyperlink" Target="https://media.ford.com/content/fordmedia/feu/en/news/2022/07/05/ford-otosan-takes-ford-plant-in-craiova-into-electric-future.html" TargetMode="External"/><Relationship Id="rId6" Type="http://schemas.openxmlformats.org/officeDocument/2006/relationships/hyperlink" Target="mailto:mjasinsk@ford.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fordmedia.pl/" TargetMode="External"/><Relationship Id="rId2" Type="http://schemas.openxmlformats.org/officeDocument/2006/relationships/hyperlink" Target="http://www.media.ford.com/" TargetMode="External"/><Relationship Id="rId3" Type="http://schemas.openxmlformats.org/officeDocument/2006/relationships/hyperlink" Target="https://twitter.com/FordPolska" TargetMode="External"/><Relationship Id="rId4" Type="http://schemas.openxmlformats.org/officeDocument/2006/relationships/hyperlink" Target="https://www.youtube.com/fordpolska"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youtube.com/fordpolska" TargetMode="External"/><Relationship Id="rId3" Type="http://schemas.openxmlformats.org/officeDocument/2006/relationships/hyperlink" Target="https://www.youtube.com/fordpolska" TargetMode="External"/><Relationship Id="rId4" Type="http://schemas.openxmlformats.org/officeDocument/2006/relationships/image" Target="media/image2.png"/><Relationship Id="rId5" Type="http://schemas.openxmlformats.org/officeDocument/2006/relationships/hyperlink" Target="https://twitter.com/FordPolska" TargetMode="External"/><Relationship Id="rId6" Type="http://schemas.openxmlformats.org/officeDocument/2006/relationships/hyperlink" Target="https://twitter.com/FordPolska" TargetMode="External"/><Relationship Id="rId7"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FORD FORMATKA</Template>
  <TotalTime>29</TotalTime>
  <Application>LibreOffice/7.1.6.2$MacOSX_X86_64 LibreOffice_project/0e133318fcee89abacd6a7d077e292f1145735c3</Application>
  <AppVersion>15.0000</AppVersion>
  <Pages>7</Pages>
  <Words>2443</Words>
  <Characters>16083</Characters>
  <CharactersWithSpaces>18435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2023-05-11T17:59:00Z</dcterms:created>
  <dc:creator>Moto Target</dc:creator>
  <dc:description/>
  <dc:language>pl-PL</dc:language>
  <cp:lastModifiedBy>Moto Target</cp:lastModifiedBy>
  <dcterms:modified xsi:type="dcterms:W3CDTF">2023-05-11T19:06:56Z</dcterms:modified>
  <cp:revision>18</cp:revision>
  <dc:subject/>
  <dc:title>FORD FORMATKA</dc:title>
</cp:coreProperties>
</file>

<file path=docProps/custom.xml><?xml version="1.0" encoding="utf-8"?>
<Properties xmlns="http://schemas.openxmlformats.org/officeDocument/2006/custom-properties" xmlns:vt="http://schemas.openxmlformats.org/officeDocument/2006/docPropsVTypes"/>
</file>