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EF4F" w14:textId="3A739AC3" w:rsidR="000D3AD1" w:rsidRDefault="005739EA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 w:rsidRPr="005739EA">
        <w:rPr>
          <w:rFonts w:ascii="Arial" w:hAnsi="Arial" w:cs="Arial"/>
          <w:b/>
          <w:bCs/>
          <w:sz w:val="32"/>
          <w:szCs w:val="32"/>
          <w:lang w:val="pl-PL"/>
        </w:rPr>
        <w:t xml:space="preserve">F-150 Lightning zdobywa tytuł </w:t>
      </w:r>
      <w:r w:rsidR="0010368D">
        <w:rPr>
          <w:rFonts w:ascii="Arial" w:hAnsi="Arial" w:cs="Arial"/>
          <w:b/>
          <w:bCs/>
          <w:sz w:val="32"/>
          <w:szCs w:val="32"/>
          <w:lang w:val="pl-PL"/>
        </w:rPr>
        <w:t>„</w:t>
      </w:r>
      <w:r w:rsidRPr="005739EA">
        <w:rPr>
          <w:rFonts w:ascii="Arial" w:hAnsi="Arial" w:cs="Arial"/>
          <w:b/>
          <w:bCs/>
          <w:sz w:val="32"/>
          <w:szCs w:val="32"/>
          <w:lang w:val="pl-PL"/>
        </w:rPr>
        <w:t>North American Truck of the Year 2023</w:t>
      </w:r>
      <w:r w:rsidR="0010368D">
        <w:rPr>
          <w:rFonts w:ascii="Arial" w:hAnsi="Arial" w:cs="Arial"/>
          <w:b/>
          <w:bCs/>
          <w:sz w:val="32"/>
          <w:szCs w:val="32"/>
          <w:lang w:val="pl-PL"/>
        </w:rPr>
        <w:t>”</w:t>
      </w:r>
      <w:r w:rsidR="004769FE">
        <w:rPr>
          <w:rFonts w:ascii="Arial" w:hAnsi="Arial" w:cs="Arial"/>
          <w:b/>
          <w:bCs/>
          <w:sz w:val="32"/>
          <w:szCs w:val="32"/>
          <w:lang w:val="pl-PL"/>
        </w:rPr>
        <w:t>. To t</w:t>
      </w:r>
      <w:r w:rsidRPr="005739EA">
        <w:rPr>
          <w:rFonts w:ascii="Arial" w:hAnsi="Arial" w:cs="Arial"/>
          <w:b/>
          <w:bCs/>
          <w:sz w:val="32"/>
          <w:szCs w:val="32"/>
          <w:lang w:val="pl-PL"/>
        </w:rPr>
        <w:t>rzecie z rzędu zwycięstwo Forda w tej kategorii</w:t>
      </w:r>
    </w:p>
    <w:p w14:paraId="657AF0D1" w14:textId="77777777" w:rsidR="000D3AD1" w:rsidRDefault="000D3AD1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391C9DBF" w14:textId="39352CB3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10368D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17</w:t>
      </w:r>
      <w:r w:rsidR="0010368D">
        <w:rPr>
          <w:rFonts w:ascii="Arial" w:hAnsi="Arial" w:cs="Arial"/>
          <w:b/>
          <w:sz w:val="22"/>
          <w:szCs w:val="22"/>
          <w:lang w:val="pl-PL"/>
        </w:rPr>
        <w:t xml:space="preserve"> stycznia 2023 r.</w:t>
      </w:r>
      <w:r w:rsidR="0010368D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5739EA">
        <w:rPr>
          <w:rFonts w:ascii="Arial" w:hAnsi="Arial" w:cs="Arial"/>
          <w:sz w:val="22"/>
          <w:szCs w:val="22"/>
          <w:lang w:val="pl-PL"/>
        </w:rPr>
        <w:t xml:space="preserve">Ford F-150 Lightning rozpoczął nowy rok z tytułem North American Truck of the Year™. Najnowsza statuetka dla elektrycznego modelu </w:t>
      </w:r>
      <w:r w:rsidR="004769FE">
        <w:rPr>
          <w:rFonts w:ascii="Arial" w:hAnsi="Arial" w:cs="Arial"/>
          <w:sz w:val="22"/>
          <w:szCs w:val="22"/>
          <w:lang w:val="pl-PL"/>
        </w:rPr>
        <w:t xml:space="preserve">na półce </w:t>
      </w:r>
      <w:r w:rsidRPr="005739EA">
        <w:rPr>
          <w:rFonts w:ascii="Arial" w:hAnsi="Arial" w:cs="Arial"/>
          <w:sz w:val="22"/>
          <w:szCs w:val="22"/>
          <w:lang w:val="pl-PL"/>
        </w:rPr>
        <w:t xml:space="preserve">z trofeami Forda to już trzecia z rzędu nagroda główna konkursu Truck of the Year. To także piąta nagroda NACTOY dla Forda zdobyta w ciągu ostatnich trzech lat. </w:t>
      </w:r>
    </w:p>
    <w:p w14:paraId="19DC8035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B2F203C" w14:textId="7921A92A" w:rsid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>"Zdobycie tytułu Ciężarowego Samochodu Roku Ameryki Północnej to wielki sukces zespołu i uwieńczenie jego wysiłków, by wyprodukować i dostarczyć klientom jak najwięcej egzemplarzy Lightninga, tak szybko jak to możliwe</w:t>
      </w:r>
      <w:r w:rsidR="004769FE">
        <w:rPr>
          <w:rFonts w:ascii="Arial" w:hAnsi="Arial" w:cs="Arial"/>
          <w:sz w:val="22"/>
          <w:szCs w:val="22"/>
          <w:lang w:val="pl-PL"/>
        </w:rPr>
        <w:t>”</w:t>
      </w:r>
      <w:r w:rsidRPr="005739EA">
        <w:rPr>
          <w:rFonts w:ascii="Arial" w:hAnsi="Arial" w:cs="Arial"/>
          <w:sz w:val="22"/>
          <w:szCs w:val="22"/>
          <w:lang w:val="pl-PL"/>
        </w:rPr>
        <w:t xml:space="preserve"> – powiedział Jim Farley, prezes i dyrektor generalny Forda. „Staramy się szybko zwiększać produkcję do 150 000 egzemplarzy modelu, co powinniśmy osiągnąć jesienią tego roku. Przy okazji staramy się poprawić każdy z parametrów tej ciężarówki. Z linii produkcyjnej zaczęły zjeżdżać Lightningi z nową, doskonałą aktualizacją interfejsu użytkownika, który powinien jeszcze podnieść satysfakcję kierowców, a który udostępnimy zdalnie poprzez funkcję over-the-air wszystkim właścicielom sprzedanych już Lightningów.”</w:t>
      </w:r>
    </w:p>
    <w:p w14:paraId="1B63B901" w14:textId="5BBD21DF" w:rsidR="004769FE" w:rsidRDefault="004769FE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1C93EEF" w14:textId="1DC56A82" w:rsidR="004769FE" w:rsidRPr="004769FE" w:rsidRDefault="004769FE" w:rsidP="005739EA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4769FE">
        <w:rPr>
          <w:rFonts w:ascii="Arial" w:hAnsi="Arial" w:cs="Arial"/>
          <w:b/>
          <w:bCs/>
          <w:sz w:val="22"/>
          <w:szCs w:val="22"/>
          <w:lang w:val="pl-PL"/>
        </w:rPr>
        <w:t>Bestseller w USA</w:t>
      </w:r>
    </w:p>
    <w:p w14:paraId="19F4735E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1FAA142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>F-150 Lightning jest najlepiej sprzedającym się elektrycznym samochodem ciężarowym w USA od momentu wprowadzenia na rynek w maju 2022 roku. Jego sprzedaż osiągnęła łącznie 15 617 sztuk, co pomogło Fordowi stać się w 2022 roku drugim w rankingu producentem samochodów elektrycznych w USA.</w:t>
      </w:r>
    </w:p>
    <w:p w14:paraId="17093F17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8C60E3A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>„Jeśli na rynek wchodzi elektryczna wersja najlepiej sprzedającego się pojazdu w Ameryce, wiedz, że transformacja musi mieć rozmach" – powiedział Karl Brauer, juror NACTOY i niezależny dziennikarz Forbes. "Wysiłek jaki podjął Ford aby skonstruować w pełni elektrycznego F-150 jest godny uwagi, ponieważ samochód zachowuje wymiary standardowego modelu pickupa, co oznacza, że pozostaje otwarty na serwisowe wsparcie masowego rynku wtórnego, a jednocześnie wprowadza znaczące zmiany w takich obszarach jak przestrzeń bagażowa i funkcja mobilnego źródła prądu. Łączy zdecydowanie najlepiej te odmienne światy, co daje F-150 Lightning wielki zakres zastosowań. Jest atrakcyjny zarówno dla tradycyjnych klientów segmentu ciężarówek, jak i nowych, dopiero dołączających.”</w:t>
      </w:r>
    </w:p>
    <w:p w14:paraId="411C9BBD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18F853E" w14:textId="63847C4D" w:rsidR="005739EA" w:rsidRPr="005739EA" w:rsidRDefault="004769FE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By w</w:t>
      </w:r>
      <w:r w:rsidR="005739EA" w:rsidRPr="005739EA">
        <w:rPr>
          <w:rFonts w:ascii="Arial" w:hAnsi="Arial" w:cs="Arial"/>
          <w:sz w:val="22"/>
          <w:szCs w:val="22"/>
          <w:lang w:val="pl-PL"/>
        </w:rPr>
        <w:t>ystartować w rywalizacji o tytuł North American Truck of the Year, modele muszą być nowe, lub znacząco zmienione w danym roku. Jury złożone z 50 profesjonalnych dziennikarzy motoryzacyjnych z całej Ameryki Północnej wybiera zwycięzcę oceniając innowacyjność, wzornictwo, bezpieczeństwo, osiągi, systemy, satysfakcję użytkownika i kierowcy oraz koszty.</w:t>
      </w:r>
    </w:p>
    <w:p w14:paraId="79F75E5B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8A45BA0" w14:textId="5F04F766" w:rsidR="005739EA" w:rsidRPr="004769FE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North American Truck of the Year to najnowsza nagroda w gablocie z trofeami F-150 Lightning. </w:t>
      </w:r>
      <w:r w:rsidR="004769FE" w:rsidRPr="004769FE">
        <w:rPr>
          <w:rFonts w:ascii="Arial" w:hAnsi="Arial" w:cs="Arial"/>
          <w:sz w:val="22"/>
          <w:szCs w:val="22"/>
          <w:lang w:val="pl-PL"/>
        </w:rPr>
        <w:t>Model ten ma jed</w:t>
      </w:r>
      <w:r w:rsidR="004769FE">
        <w:rPr>
          <w:rFonts w:ascii="Arial" w:hAnsi="Arial" w:cs="Arial"/>
          <w:sz w:val="22"/>
          <w:szCs w:val="22"/>
          <w:lang w:val="pl-PL"/>
        </w:rPr>
        <w:t>nak na swoim koncie znacznie więcej</w:t>
      </w:r>
      <w:r w:rsidRPr="004769FE">
        <w:rPr>
          <w:rFonts w:ascii="Arial" w:hAnsi="Arial" w:cs="Arial"/>
          <w:sz w:val="22"/>
          <w:szCs w:val="22"/>
          <w:lang w:val="pl-PL"/>
        </w:rPr>
        <w:t xml:space="preserve"> </w:t>
      </w:r>
      <w:r w:rsidR="004769FE">
        <w:rPr>
          <w:rFonts w:ascii="Arial" w:hAnsi="Arial" w:cs="Arial"/>
          <w:sz w:val="22"/>
          <w:szCs w:val="22"/>
          <w:lang w:val="pl-PL"/>
        </w:rPr>
        <w:t>tytułów i nagród, to m.in.:</w:t>
      </w:r>
    </w:p>
    <w:p w14:paraId="4EFD9E85" w14:textId="77777777" w:rsidR="00DC5B9D" w:rsidRPr="004769FE" w:rsidRDefault="00DC5B9D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3CE7306" w14:textId="77777777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Truck of the Year od „Motor Trend”, </w:t>
      </w:r>
    </w:p>
    <w:p w14:paraId="20726D05" w14:textId="77777777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Best Car to Buy od „The Car Connection”, </w:t>
      </w:r>
    </w:p>
    <w:p w14:paraId="439384B6" w14:textId="31026152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lastRenderedPageBreak/>
        <w:t xml:space="preserve">Top Rated od „Edmunds”, </w:t>
      </w:r>
    </w:p>
    <w:p w14:paraId="61345DE1" w14:textId="435C65CC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Truck of the Year od „Detroit Free Press”, </w:t>
      </w:r>
    </w:p>
    <w:p w14:paraId="0F9A059A" w14:textId="104FD490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Best Car to Buy od „Green Car Reports”, </w:t>
      </w:r>
    </w:p>
    <w:p w14:paraId="370F654F" w14:textId="06F0BF3E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Top 200 Invention of 2022 od „TIME”, </w:t>
      </w:r>
    </w:p>
    <w:p w14:paraId="22F52730" w14:textId="05BEE200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Best Buy Award od „Kelley Blue Book 2023”, </w:t>
      </w:r>
    </w:p>
    <w:p w14:paraId="1456B76A" w14:textId="77D030C0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Altair Enlighten Award 2022, </w:t>
      </w:r>
    </w:p>
    <w:p w14:paraId="04C80AAC" w14:textId="4C3E1BD7" w:rsidR="005739EA" w:rsidRP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 xml:space="preserve">Samochód roku 2022 magazynu „Sobre Ruedas”, </w:t>
      </w:r>
    </w:p>
    <w:p w14:paraId="380655AC" w14:textId="0144ECD3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10 Best &amp; Engines &amp; Propulsion Systems od „Wards Auto”, </w:t>
      </w:r>
    </w:p>
    <w:p w14:paraId="5D1CC22F" w14:textId="677EA9CC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Best Car to Buy od „Internet Brands”, </w:t>
      </w:r>
    </w:p>
    <w:p w14:paraId="0A82CC5B" w14:textId="3095377E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Vehicle of the Year od „Victory &amp; Reseda”, </w:t>
      </w:r>
    </w:p>
    <w:p w14:paraId="6C56390F" w14:textId="44F971F2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American Car of the Year 2022 od „TopGear.com”, </w:t>
      </w:r>
    </w:p>
    <w:p w14:paraId="4BC79A12" w14:textId="222D754B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 xml:space="preserve">Technology of the Year 2022 od „Autoblog”, </w:t>
      </w:r>
    </w:p>
    <w:p w14:paraId="00522828" w14:textId="43D3749D" w:rsid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 xml:space="preserve">Star Award od „Motor1”, </w:t>
      </w:r>
    </w:p>
    <w:p w14:paraId="4C775706" w14:textId="08EB25FF" w:rsidR="005739EA" w:rsidRP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5739EA">
        <w:rPr>
          <w:rFonts w:ascii="Arial" w:hAnsi="Arial" w:cs="Arial"/>
          <w:sz w:val="22"/>
          <w:szCs w:val="22"/>
          <w:lang w:val="en-US"/>
        </w:rPr>
        <w:t>Save the Planet od „CarBuzz”</w:t>
      </w:r>
      <w:r w:rsidRPr="005739EA">
        <w:rPr>
          <w:rFonts w:ascii="Arial" w:hAnsi="Arial" w:cs="Arial"/>
          <w:sz w:val="22"/>
          <w:szCs w:val="22"/>
          <w:lang w:val="en-US"/>
        </w:rPr>
        <w:t>,</w:t>
      </w:r>
      <w:r w:rsidRPr="005739E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1EBCA2A" w14:textId="1F459BD1" w:rsidR="005739EA" w:rsidRPr="005739EA" w:rsidRDefault="005739EA" w:rsidP="005739E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>liczne nagrody SABRE.</w:t>
      </w:r>
    </w:p>
    <w:p w14:paraId="6DB76B12" w14:textId="77777777" w:rsidR="005739EA" w:rsidRP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9DDC8A6" w14:textId="27736166" w:rsidR="000D3AD1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5739EA">
        <w:rPr>
          <w:rFonts w:ascii="Arial" w:hAnsi="Arial" w:cs="Arial"/>
          <w:sz w:val="22"/>
          <w:szCs w:val="22"/>
          <w:lang w:val="pl-PL"/>
        </w:rPr>
        <w:t>Więcej informacji na temat F-150 Lightning można znaleźć na stronie medialnej Forda.</w:t>
      </w:r>
    </w:p>
    <w:p w14:paraId="106C3B42" w14:textId="77777777" w:rsidR="005739EA" w:rsidRDefault="005739EA" w:rsidP="005739E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C6737A8" w14:textId="77777777" w:rsidR="000D3AD1" w:rsidRDefault="0010368D">
      <w:pPr>
        <w:pStyle w:val="BodyText2"/>
        <w:spacing w:line="24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</w:t>
      </w:r>
      <w:r>
        <w:rPr>
          <w:rFonts w:ascii="Arial" w:hAnsi="Arial" w:cs="Arial"/>
          <w:sz w:val="22"/>
          <w:szCs w:val="22"/>
          <w:lang w:val="pl-PL"/>
        </w:rPr>
        <w:t xml:space="preserve"> # #</w:t>
      </w:r>
    </w:p>
    <w:p w14:paraId="70AB493B" w14:textId="59D2BC04" w:rsidR="000D3AD1" w:rsidRDefault="000D3AD1">
      <w:pPr>
        <w:rPr>
          <w:rFonts w:ascii="Arial" w:hAnsi="Arial" w:cs="Arial"/>
          <w:sz w:val="22"/>
          <w:szCs w:val="22"/>
          <w:lang w:val="pl-PL"/>
        </w:rPr>
      </w:pPr>
    </w:p>
    <w:p w14:paraId="762551B2" w14:textId="77777777" w:rsidR="000D3AD1" w:rsidRDefault="0010368D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</w:t>
      </w:r>
      <w:r>
        <w:rPr>
          <w:rFonts w:ascii="Arial" w:hAnsi="Arial" w:cs="Arial"/>
          <w:b/>
          <w:bCs/>
          <w:i/>
          <w:iCs/>
          <w:szCs w:val="20"/>
          <w:lang w:val="pl-PL"/>
        </w:rPr>
        <w:t>ompany</w:t>
      </w:r>
    </w:p>
    <w:p w14:paraId="10BBFDD9" w14:textId="77777777" w:rsidR="000D3AD1" w:rsidRDefault="0010368D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>Ford Motor Company (NYSE: F) z centralą w Dearborn w stanie Michigan w USA, jest globalną firmą zaangażowaną w budowanie lepszego świata, w którym każda osoba ma prawo do swobodnego przemieszczania się i realizowania swoich marzeń. Strategia firmy F</w:t>
      </w:r>
      <w:r>
        <w:rPr>
          <w:rFonts w:ascii="Arial" w:hAnsi="Arial" w:cs="Arial"/>
          <w:i/>
          <w:iCs/>
          <w:szCs w:val="20"/>
          <w:lang w:val="pl-PL"/>
        </w:rPr>
        <w:t>ord+ dążąca do stabilnego wzrostu i tworzenia wartości, łączy mocne strony, nowe możliwości i opiera się na stałych relacjach z klientami, by wzbogacić ich doświadczenia i budować ich lojalność. Ford projektuje, produkuje, sprzedaje oraz serwisuje całą gam</w:t>
      </w:r>
      <w:r>
        <w:rPr>
          <w:rFonts w:ascii="Arial" w:hAnsi="Arial" w:cs="Arial"/>
          <w:i/>
          <w:iCs/>
          <w:szCs w:val="20"/>
          <w:lang w:val="pl-PL"/>
        </w:rPr>
        <w:t>ę skomunikowanych pojazdów użytkowych, SUV-ów oraz samochodów osobowych - coraz częściej w wersjach zelektryfikowanych - marki Ford i luksusowej marki Lincoln. Firma Ford umacnia pozycję lidera w dziedzinie elektryfikacji pojazdów, inwestuje w rozwój mobil</w:t>
      </w:r>
      <w:r>
        <w:rPr>
          <w:rFonts w:ascii="Arial" w:hAnsi="Arial" w:cs="Arial"/>
          <w:i/>
          <w:iCs/>
          <w:szCs w:val="20"/>
          <w:lang w:val="pl-PL"/>
        </w:rPr>
        <w:t>ności, systemy autonomicznej jazdy oraz usługi dla pojazdów skomunikowanych, a także zapewnia usługi finansowe poprzez Ford Motor Credit Company. Ford zatrudnia około 176 tys. pracowników w zakładach na całym świecie. Więcej informacji na temat Forda, prod</w:t>
      </w:r>
      <w:r>
        <w:rPr>
          <w:rFonts w:ascii="Arial" w:hAnsi="Arial" w:cs="Arial"/>
          <w:i/>
          <w:iCs/>
          <w:szCs w:val="20"/>
          <w:lang w:val="pl-PL"/>
        </w:rPr>
        <w:t>uktów firmy oraz oddziału Ford Credit na stronie corporate.ford.com.</w:t>
      </w:r>
    </w:p>
    <w:p w14:paraId="17061BC4" w14:textId="77777777" w:rsidR="000D3AD1" w:rsidRDefault="000D3AD1">
      <w:pPr>
        <w:rPr>
          <w:rFonts w:ascii="Arial" w:hAnsi="Arial" w:cs="Arial"/>
          <w:lang w:val="pl-PL"/>
        </w:rPr>
      </w:pPr>
    </w:p>
    <w:p w14:paraId="6063EEF1" w14:textId="77777777" w:rsidR="000D3AD1" w:rsidRDefault="0010368D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w Europie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34 tys. pracowników we własnych oddziałach oraz spółkach typu joint venture, łącznie około 55 tys. osób, po uwzględnieniu działalności nieskonsolidowanej. </w:t>
      </w:r>
      <w:r>
        <w:rPr>
          <w:rFonts w:ascii="Arial" w:hAnsi="Arial" w:cs="Arial"/>
          <w:i/>
          <w:iCs/>
          <w:lang w:val="pl-PL"/>
        </w:rPr>
        <w:t>Oprócz spółki Ford Motor Credit Company, usługi firmy Ford of Europe obejmują dział Ford Customer Service Division oraz 14 oddziałów produkcyjnych (8 spółek całkowicie zależnych oraz 6 nieskonsolidowane typu joint venture). Pierwsze samochody marki Ford do</w:t>
      </w:r>
      <w:r>
        <w:rPr>
          <w:rFonts w:ascii="Arial" w:hAnsi="Arial" w:cs="Arial"/>
          <w:i/>
          <w:iCs/>
          <w:lang w:val="pl-PL"/>
        </w:rPr>
        <w:t>tarły do Europy w 1903 roku – w tym samym roku powstała firma Ford Motor Company. Produkcja w Europie ruszyła w roku 1911.</w:t>
      </w:r>
    </w:p>
    <w:p w14:paraId="74D26AFD" w14:textId="77777777" w:rsidR="000D3AD1" w:rsidRDefault="000D3AD1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6283" w:type="dxa"/>
        <w:tblLayout w:type="fixed"/>
        <w:tblLook w:val="04A0" w:firstRow="1" w:lastRow="0" w:firstColumn="1" w:lastColumn="0" w:noHBand="0" w:noVBand="1"/>
      </w:tblPr>
      <w:tblGrid>
        <w:gridCol w:w="1372"/>
        <w:gridCol w:w="2456"/>
        <w:gridCol w:w="282"/>
        <w:gridCol w:w="2173"/>
      </w:tblGrid>
      <w:tr w:rsidR="005739EA" w14:paraId="7114C14F" w14:textId="77777777">
        <w:tc>
          <w:tcPr>
            <w:tcW w:w="1372" w:type="dxa"/>
            <w:shd w:val="clear" w:color="auto" w:fill="auto"/>
          </w:tcPr>
          <w:p w14:paraId="475F6B23" w14:textId="77777777" w:rsidR="005739EA" w:rsidRDefault="005739EA" w:rsidP="005739EA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2456" w:type="dxa"/>
            <w:shd w:val="clear" w:color="auto" w:fill="auto"/>
          </w:tcPr>
          <w:p w14:paraId="329E080A" w14:textId="52FBDF29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D86D6D"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  <w:tc>
          <w:tcPr>
            <w:tcW w:w="2455" w:type="dxa"/>
            <w:gridSpan w:val="2"/>
          </w:tcPr>
          <w:p w14:paraId="73A737CE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5739EA" w:rsidRPr="005739EA" w14:paraId="7291712F" w14:textId="77777777">
        <w:tc>
          <w:tcPr>
            <w:tcW w:w="1372" w:type="dxa"/>
            <w:shd w:val="clear" w:color="auto" w:fill="auto"/>
          </w:tcPr>
          <w:p w14:paraId="4448EE0F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3CE180C1" w14:textId="01BDC5F0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D86D6D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173" w:type="dxa"/>
          </w:tcPr>
          <w:p w14:paraId="321534A5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5739EA" w14:paraId="628B5C49" w14:textId="77777777">
        <w:tc>
          <w:tcPr>
            <w:tcW w:w="1372" w:type="dxa"/>
            <w:shd w:val="clear" w:color="auto" w:fill="auto"/>
          </w:tcPr>
          <w:p w14:paraId="50B010B5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0D7DDAAE" w14:textId="1A31544A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D86D6D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55" w:type="dxa"/>
            <w:gridSpan w:val="2"/>
          </w:tcPr>
          <w:p w14:paraId="303B0068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5739EA" w14:paraId="2B5A5B4F" w14:textId="77777777" w:rsidTr="005739EA">
        <w:trPr>
          <w:trHeight w:val="363"/>
        </w:trPr>
        <w:tc>
          <w:tcPr>
            <w:tcW w:w="1372" w:type="dxa"/>
            <w:shd w:val="clear" w:color="auto" w:fill="auto"/>
          </w:tcPr>
          <w:p w14:paraId="176059CD" w14:textId="7777777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14:paraId="5C8F106C" w14:textId="77777777" w:rsidR="005739EA" w:rsidRPr="00D86D6D" w:rsidRDefault="005739EA" w:rsidP="005739EA">
            <w:pPr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</w:pPr>
            <w:hyperlink r:id="rId11" w:history="1">
              <w:r w:rsidRPr="00D86D6D">
                <w:rPr>
                  <w:rStyle w:val="Hyperlink"/>
                  <w:rFonts w:ascii="Arial" w:hAnsi="Arial" w:cs="Arial"/>
                  <w:sz w:val="22"/>
                  <w:szCs w:val="22"/>
                  <w:lang w:val="pl-PL" w:eastAsia="ar-SA"/>
                </w:rPr>
                <w:t>mjasinsk@ford.com</w:t>
              </w:r>
            </w:hyperlink>
          </w:p>
          <w:p w14:paraId="6661DBEC" w14:textId="6F424647" w:rsidR="005739EA" w:rsidRDefault="005739EA" w:rsidP="005739EA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455" w:type="dxa"/>
            <w:gridSpan w:val="2"/>
          </w:tcPr>
          <w:p w14:paraId="533ECD64" w14:textId="77777777" w:rsidR="005739EA" w:rsidRDefault="005739EA" w:rsidP="005739EA">
            <w:pPr>
              <w:widowControl w:val="0"/>
            </w:pPr>
          </w:p>
        </w:tc>
      </w:tr>
    </w:tbl>
    <w:p w14:paraId="446DA158" w14:textId="77777777" w:rsidR="000D3AD1" w:rsidRDefault="000D3AD1">
      <w:pPr>
        <w:tabs>
          <w:tab w:val="center" w:pos="4680"/>
        </w:tabs>
        <w:rPr>
          <w:rFonts w:ascii="Arial" w:hAnsi="Arial" w:cs="Arial"/>
          <w:i/>
          <w:sz w:val="22"/>
          <w:szCs w:val="22"/>
          <w:lang w:val="pl-PL"/>
        </w:rPr>
      </w:pPr>
    </w:p>
    <w:sectPr w:rsidR="000D3AD1"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C78" w14:textId="77777777" w:rsidR="00000000" w:rsidRDefault="0010368D">
      <w:r>
        <w:separator/>
      </w:r>
    </w:p>
  </w:endnote>
  <w:endnote w:type="continuationSeparator" w:id="0">
    <w:p w14:paraId="0A5F41B8" w14:textId="77777777" w:rsidR="00000000" w:rsidRDefault="001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0D3AD1" w:rsidRPr="00A460AA" w14:paraId="44273A56" w14:textId="77777777">
      <w:tc>
        <w:tcPr>
          <w:tcW w:w="9468" w:type="dxa"/>
        </w:tcPr>
        <w:p w14:paraId="6AD9E777" w14:textId="77777777" w:rsidR="000D3AD1" w:rsidRDefault="0010368D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7" behindDoc="0" locked="0" layoutInCell="0" allowOverlap="1" wp14:anchorId="0189911C" wp14:editId="15909CE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7877D3D0" w14:textId="77777777" w:rsidR="000D3AD1" w:rsidRDefault="0010368D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4491BAF7" w14:textId="77777777" w:rsidR="000D3AD1" w:rsidRDefault="000D3AD1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25BE5D97" w14:textId="77777777" w:rsidR="000D3AD1" w:rsidRDefault="0010368D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www.media.ford.com.</w:t>
            </w:r>
          </w:hyperlink>
        </w:p>
        <w:p w14:paraId="131924C1" w14:textId="77777777" w:rsidR="000D3AD1" w:rsidRDefault="0010368D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</w:t>
            </w:r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NewsEurope</w:t>
            </w:r>
          </w:hyperlink>
        </w:p>
        <w:p w14:paraId="46A3AABF" w14:textId="77777777" w:rsidR="000D3AD1" w:rsidRPr="00A460AA" w:rsidRDefault="000D3AD1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0FDA48CB" w14:textId="77777777" w:rsidR="000D3AD1" w:rsidRPr="00A460AA" w:rsidRDefault="000D3AD1">
          <w:pPr>
            <w:pStyle w:val="Footer"/>
            <w:widowControl w:val="0"/>
            <w:rPr>
              <w:lang w:val="pl-PL"/>
            </w:rPr>
          </w:pPr>
        </w:p>
      </w:tc>
    </w:tr>
  </w:tbl>
  <w:p w14:paraId="2FF5BDA0" w14:textId="77777777" w:rsidR="000D3AD1" w:rsidRPr="00A460AA" w:rsidRDefault="000D3AD1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D85E" w14:textId="77777777" w:rsidR="000D3AD1" w:rsidRDefault="000D3AD1">
    <w:pPr>
      <w:pStyle w:val="Footer"/>
      <w:jc w:val="center"/>
    </w:pPr>
  </w:p>
  <w:p w14:paraId="79EC5780" w14:textId="77777777" w:rsidR="000D3AD1" w:rsidRDefault="000D3AD1">
    <w:pPr>
      <w:pStyle w:val="Footer"/>
      <w:jc w:val="center"/>
    </w:pPr>
  </w:p>
  <w:p w14:paraId="7AE5C308" w14:textId="77777777" w:rsidR="000D3AD1" w:rsidRDefault="0010368D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www.media.ford.com.</w:t>
      </w:r>
    </w:hyperlink>
  </w:p>
  <w:p w14:paraId="5B77FBB9" w14:textId="77777777" w:rsidR="000D3AD1" w:rsidRDefault="0010368D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76EC" w14:textId="77777777" w:rsidR="00000000" w:rsidRDefault="0010368D">
      <w:r>
        <w:separator/>
      </w:r>
    </w:p>
  </w:footnote>
  <w:footnote w:type="continuationSeparator" w:id="0">
    <w:p w14:paraId="0F918795" w14:textId="77777777" w:rsidR="00000000" w:rsidRDefault="0010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44D7" w14:textId="77777777" w:rsidR="000D3AD1" w:rsidRDefault="0010368D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67E08A42" wp14:editId="2C24F5BC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0F3F0BC" wp14:editId="4967220E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66BC7C" w14:textId="77777777" w:rsidR="000D3AD1" w:rsidRDefault="0010368D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C2CE4" wp14:editId="5BB30084">
                                <wp:extent cx="1053465" cy="236220"/>
                                <wp:effectExtent l="0" t="0" r="0" b="0"/>
                                <wp:docPr id="4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0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0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1492510D" wp14:editId="4C3C0AA8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3363E3" w14:textId="77777777" w:rsidR="000D3AD1" w:rsidRDefault="0010368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27B20C" wp14:editId="76E67E5A">
                                <wp:extent cx="269240" cy="269240"/>
                                <wp:effectExtent l="0" t="0" r="0" b="0"/>
                                <wp:docPr id="8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8BD215" w14:textId="77777777" w:rsidR="000D3AD1" w:rsidRDefault="0010368D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11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0" allowOverlap="1" wp14:anchorId="3671ABF1" wp14:editId="41DE1F62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959485" cy="7366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84F"/>
    <w:multiLevelType w:val="hybridMultilevel"/>
    <w:tmpl w:val="CD8A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73"/>
    <w:multiLevelType w:val="multilevel"/>
    <w:tmpl w:val="16529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97174"/>
    <w:multiLevelType w:val="multilevel"/>
    <w:tmpl w:val="805A7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1"/>
    <w:rsid w:val="000D3AD1"/>
    <w:rsid w:val="0010368D"/>
    <w:rsid w:val="004769FE"/>
    <w:rsid w:val="005739EA"/>
    <w:rsid w:val="00A460AA"/>
    <w:rsid w:val="00D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D882"/>
  <w15:docId w15:val="{296420F2-C923-48D6-92B9-BF737C1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uiPriority w:val="99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F679B"/>
    <w:rPr>
      <w:lang w:eastAsia="en-U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39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jasinsk@for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E980C437-912F-4AE9-B1B8-A85FCC3E5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dc:description/>
  <cp:lastModifiedBy>Krzyczkowska, Zuzanna (Z.)</cp:lastModifiedBy>
  <cp:revision>6</cp:revision>
  <dcterms:created xsi:type="dcterms:W3CDTF">2023-01-17T07:50:00Z</dcterms:created>
  <dcterms:modified xsi:type="dcterms:W3CDTF">2023-01-17T07:56:00Z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GrammarlyDocumentId">
    <vt:lpwstr>3203479a94c00dea7ba622178e8b6e2e3c8a9ff6fff040444276e7203ccf8163</vt:lpwstr>
  </property>
  <property fmtid="{D5CDD505-2E9C-101B-9397-08002B2CF9AE}" pid="4" name="_NewReviewCycle">
    <vt:lpwstr/>
  </property>
</Properties>
</file>