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857E" w14:textId="538CE056" w:rsidR="004E2F83" w:rsidRDefault="00244826" w:rsidP="00C84963">
      <w:pPr>
        <w:ind w:right="-240"/>
        <w:jc w:val="both"/>
        <w:rPr>
          <w:rFonts w:ascii="Arial" w:hAnsi="Arial" w:cs="Arial"/>
          <w:b/>
          <w:bCs/>
          <w:sz w:val="32"/>
          <w:szCs w:val="32"/>
          <w:lang w:val="pl-PL"/>
        </w:rPr>
      </w:pPr>
      <w:r w:rsidRPr="00244826">
        <w:rPr>
          <w:rFonts w:ascii="Arial" w:hAnsi="Arial" w:cs="Arial"/>
          <w:b/>
          <w:bCs/>
          <w:sz w:val="32"/>
          <w:szCs w:val="32"/>
          <w:lang w:val="pl-PL"/>
        </w:rPr>
        <w:t>Ford szacuje wkład samochodów dostawczych w europejską gospodarkę w 2021 r. na 786 mld euro – prawie dwa razy więcej niż PKB Norwegii</w:t>
      </w:r>
    </w:p>
    <w:p w14:paraId="0EA6F65D" w14:textId="77777777" w:rsidR="004E2F83" w:rsidRDefault="004E2F83" w:rsidP="00C84963">
      <w:pPr>
        <w:pStyle w:val="BodyText2"/>
        <w:spacing w:line="240" w:lineRule="auto"/>
        <w:jc w:val="both"/>
        <w:rPr>
          <w:rFonts w:ascii="Arial" w:hAnsi="Arial" w:cs="Arial"/>
          <w:b/>
          <w:bCs/>
          <w:sz w:val="32"/>
          <w:szCs w:val="32"/>
          <w:lang w:val="pl-PL"/>
        </w:rPr>
      </w:pPr>
    </w:p>
    <w:p w14:paraId="3C45FFDC" w14:textId="77777777" w:rsidR="00244826" w:rsidRDefault="00244826" w:rsidP="00244826">
      <w:pPr>
        <w:ind w:right="-425"/>
        <w:rPr>
          <w:rFonts w:ascii="Arial" w:hAnsi="Arial" w:cs="Arial"/>
          <w:bCs/>
          <w:sz w:val="22"/>
          <w:szCs w:val="22"/>
          <w:lang w:val="pl-PL"/>
        </w:rPr>
      </w:pPr>
      <w:r>
        <w:rPr>
          <w:noProof/>
        </w:rPr>
        <w:drawing>
          <wp:inline distT="0" distB="0" distL="0" distR="0" wp14:anchorId="0A3B00F0" wp14:editId="149F9F80">
            <wp:extent cx="5941060" cy="3347720"/>
            <wp:effectExtent l="0" t="0" r="0" b="0"/>
            <wp:docPr id="3" name="Picture 5" descr="A picture containing road,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road, outdoor, person&#10;&#10;Description automatically generated"/>
                    <pic:cNvPicPr>
                      <a:picLocks noChangeAspect="1" noChangeArrowheads="1"/>
                    </pic:cNvPicPr>
                  </pic:nvPicPr>
                  <pic:blipFill>
                    <a:blip r:embed="rId11"/>
                    <a:stretch>
                      <a:fillRect/>
                    </a:stretch>
                  </pic:blipFill>
                  <pic:spPr bwMode="auto">
                    <a:xfrm>
                      <a:off x="0" y="0"/>
                      <a:ext cx="5941060" cy="3347720"/>
                    </a:xfrm>
                    <a:prstGeom prst="rect">
                      <a:avLst/>
                    </a:prstGeom>
                  </pic:spPr>
                </pic:pic>
              </a:graphicData>
            </a:graphic>
          </wp:inline>
        </w:drawing>
      </w:r>
    </w:p>
    <w:p w14:paraId="64757CA0" w14:textId="77777777" w:rsidR="00244826" w:rsidRDefault="00244826" w:rsidP="00244826">
      <w:pPr>
        <w:pBdr>
          <w:top w:val="single" w:sz="4" w:space="1" w:color="000000"/>
          <w:left w:val="single" w:sz="4" w:space="0" w:color="000000"/>
          <w:bottom w:val="single" w:sz="4" w:space="1" w:color="000000"/>
          <w:right w:val="single" w:sz="4" w:space="0" w:color="000000"/>
        </w:pBdr>
        <w:shd w:val="clear" w:color="auto" w:fill="000000" w:themeFill="text1"/>
        <w:rPr>
          <w:rFonts w:ascii="Arial" w:hAnsi="Arial" w:cs="Arial"/>
          <w:bCs/>
          <w:color w:val="FFFFFF" w:themeColor="background1"/>
          <w:sz w:val="21"/>
          <w:szCs w:val="21"/>
          <w:lang w:val="pl-PL"/>
        </w:rPr>
      </w:pPr>
      <w:r>
        <w:rPr>
          <w:rFonts w:ascii="Arial" w:hAnsi="Arial" w:cs="Arial"/>
          <w:bCs/>
          <w:color w:val="FFFFFF" w:themeColor="background1"/>
          <w:sz w:val="21"/>
          <w:szCs w:val="21"/>
          <w:lang w:val="pl-PL"/>
        </w:rPr>
        <w:t xml:space="preserve">Ze zleconego przez Forda raportu wynika, że samochody dostawcze są kluczowym filarem europejskiej gospodarki, a ich ubiegłoroczny udział w ogólnym produkcie wyniósł </w:t>
      </w:r>
      <w:r>
        <w:rPr>
          <w:rFonts w:ascii="Arial" w:hAnsi="Arial" w:cs="Arial"/>
          <w:sz w:val="21"/>
          <w:szCs w:val="21"/>
          <w:lang w:val="pl-PL"/>
        </w:rPr>
        <w:t>786 mld euro.</w:t>
      </w:r>
      <w:bookmarkStart w:id="0" w:name="_Hlk22027420"/>
      <w:bookmarkEnd w:id="0"/>
    </w:p>
    <w:p w14:paraId="78D90B1F" w14:textId="301668CE" w:rsidR="004E2F83" w:rsidRDefault="004E2F83" w:rsidP="00C84963">
      <w:pPr>
        <w:jc w:val="both"/>
        <w:rPr>
          <w:rFonts w:ascii="Arial" w:hAnsi="Arial" w:cs="Arial"/>
          <w:sz w:val="22"/>
          <w:szCs w:val="22"/>
          <w:lang w:val="pl-PL"/>
        </w:rPr>
      </w:pPr>
    </w:p>
    <w:p w14:paraId="0368F79D" w14:textId="77777777" w:rsidR="00244826" w:rsidRPr="00DD6723" w:rsidRDefault="00244826" w:rsidP="00C84963">
      <w:pPr>
        <w:jc w:val="both"/>
        <w:rPr>
          <w:lang w:val="pl-PL"/>
        </w:rPr>
      </w:pPr>
    </w:p>
    <w:p w14:paraId="20E25581" w14:textId="63FE693D" w:rsidR="00244826" w:rsidRDefault="00DD6723" w:rsidP="00D66DDE">
      <w:pPr>
        <w:jc w:val="both"/>
        <w:rPr>
          <w:rFonts w:ascii="Arial" w:hAnsi="Arial" w:cs="Arial"/>
          <w:sz w:val="21"/>
          <w:szCs w:val="21"/>
          <w:lang w:val="pl-PL"/>
        </w:rPr>
      </w:pPr>
      <w:r>
        <w:rPr>
          <w:rFonts w:ascii="Arial" w:hAnsi="Arial" w:cs="Arial"/>
          <w:b/>
          <w:sz w:val="22"/>
          <w:szCs w:val="22"/>
          <w:lang w:val="pl-PL"/>
        </w:rPr>
        <w:t>WARSZAWA</w:t>
      </w:r>
      <w:r w:rsidR="00C84963">
        <w:rPr>
          <w:rFonts w:ascii="Arial" w:hAnsi="Arial" w:cs="Arial"/>
          <w:b/>
          <w:sz w:val="22"/>
          <w:szCs w:val="22"/>
          <w:lang w:val="pl-PL"/>
        </w:rPr>
        <w:t xml:space="preserve">, </w:t>
      </w:r>
      <w:r w:rsidR="00244826">
        <w:rPr>
          <w:rFonts w:ascii="Arial" w:hAnsi="Arial" w:cs="Arial"/>
          <w:b/>
          <w:sz w:val="22"/>
          <w:szCs w:val="22"/>
          <w:lang w:val="pl-PL"/>
        </w:rPr>
        <w:t>20</w:t>
      </w:r>
      <w:r w:rsidR="00C84963">
        <w:rPr>
          <w:rFonts w:ascii="Arial" w:hAnsi="Arial" w:cs="Arial"/>
          <w:b/>
          <w:sz w:val="22"/>
          <w:szCs w:val="22"/>
          <w:lang w:val="pl-PL"/>
        </w:rPr>
        <w:t xml:space="preserve"> września 2022</w:t>
      </w:r>
      <w:r w:rsidR="00C84963">
        <w:rPr>
          <w:rFonts w:ascii="Arial" w:hAnsi="Arial" w:cs="Arial"/>
          <w:sz w:val="22"/>
          <w:szCs w:val="22"/>
          <w:lang w:val="pl-PL"/>
        </w:rPr>
        <w:t xml:space="preserve"> – </w:t>
      </w:r>
      <w:r w:rsidR="00244826" w:rsidRPr="00244826">
        <w:rPr>
          <w:rFonts w:ascii="Arial" w:hAnsi="Arial" w:cs="Arial"/>
          <w:sz w:val="21"/>
          <w:szCs w:val="21"/>
          <w:lang w:val="pl-PL"/>
        </w:rPr>
        <w:t xml:space="preserve">Gdyby europejskie przedsiębiorstwa korzystające z ciężarówek stanowiły jedno państwo, byłoby ono </w:t>
      </w:r>
      <w:r w:rsidR="00244826" w:rsidRPr="00244826">
        <w:rPr>
          <w:rStyle w:val="czeinternetowe"/>
          <w:rFonts w:ascii="Arial" w:hAnsi="Arial" w:cs="Arial"/>
          <w:color w:val="auto"/>
          <w:sz w:val="21"/>
          <w:szCs w:val="21"/>
          <w:u w:val="none"/>
          <w:lang w:val="pl-PL"/>
        </w:rPr>
        <w:t>ósmym pod względem wysokości PKB krajem w Europie</w:t>
      </w:r>
      <w:r w:rsidR="00244826" w:rsidRPr="00244826">
        <w:rPr>
          <w:rFonts w:ascii="Arial" w:hAnsi="Arial" w:cs="Arial"/>
          <w:sz w:val="21"/>
          <w:szCs w:val="21"/>
          <w:lang w:val="pl-PL"/>
        </w:rPr>
        <w:t>.</w:t>
      </w:r>
      <w:r w:rsidR="00244826" w:rsidRPr="00244826">
        <w:rPr>
          <w:rFonts w:ascii="Arial" w:hAnsi="Arial" w:cs="Arial"/>
          <w:sz w:val="21"/>
          <w:szCs w:val="21"/>
          <w:vertAlign w:val="superscript"/>
          <w:lang w:val="pl-PL"/>
        </w:rPr>
        <w:t xml:space="preserve"> 1</w:t>
      </w:r>
    </w:p>
    <w:p w14:paraId="25F70032" w14:textId="77777777" w:rsidR="00244826" w:rsidRDefault="00244826" w:rsidP="00D66DDE">
      <w:pPr>
        <w:jc w:val="both"/>
        <w:rPr>
          <w:rFonts w:ascii="Arial" w:hAnsi="Arial" w:cs="Arial"/>
          <w:sz w:val="21"/>
          <w:szCs w:val="21"/>
          <w:lang w:val="pl-PL"/>
        </w:rPr>
      </w:pPr>
    </w:p>
    <w:p w14:paraId="0FCF38D6" w14:textId="5B0CD24A" w:rsidR="00244826" w:rsidRDefault="00244826" w:rsidP="00D66DDE">
      <w:pPr>
        <w:contextualSpacing/>
        <w:jc w:val="both"/>
        <w:rPr>
          <w:rFonts w:ascii="Arial" w:hAnsi="Arial" w:cs="Arial"/>
          <w:sz w:val="21"/>
          <w:szCs w:val="21"/>
          <w:lang w:val="pl-PL"/>
        </w:rPr>
      </w:pPr>
      <w:r>
        <w:rPr>
          <w:rFonts w:ascii="Arial" w:hAnsi="Arial" w:cs="Arial"/>
          <w:sz w:val="21"/>
          <w:szCs w:val="21"/>
          <w:lang w:val="pl-PL"/>
        </w:rPr>
        <w:t>Jak wynika z najnowszego raportu</w:t>
      </w:r>
      <w:r>
        <w:rPr>
          <w:rFonts w:ascii="Arial" w:hAnsi="Arial" w:cs="Arial"/>
          <w:sz w:val="21"/>
          <w:szCs w:val="21"/>
          <w:vertAlign w:val="superscript"/>
          <w:lang w:val="pl-PL"/>
        </w:rPr>
        <w:t xml:space="preserve"> 2</w:t>
      </w:r>
      <w:r>
        <w:rPr>
          <w:rFonts w:ascii="Arial" w:hAnsi="Arial" w:cs="Arial"/>
          <w:sz w:val="21"/>
          <w:szCs w:val="21"/>
          <w:lang w:val="pl-PL"/>
        </w:rPr>
        <w:t xml:space="preserve"> zleconego przez Ford Pro </w:t>
      </w:r>
      <w:r w:rsidR="00D66DDE">
        <w:rPr>
          <w:rFonts w:ascii="Arial" w:hAnsi="Arial" w:cs="Arial"/>
          <w:sz w:val="21"/>
          <w:szCs w:val="21"/>
          <w:lang w:val="pl-PL"/>
        </w:rPr>
        <w:t>–</w:t>
      </w:r>
      <w:r>
        <w:rPr>
          <w:rFonts w:ascii="Arial" w:hAnsi="Arial" w:cs="Arial"/>
          <w:sz w:val="21"/>
          <w:szCs w:val="21"/>
          <w:lang w:val="pl-PL"/>
        </w:rPr>
        <w:t xml:space="preserve"> lidera</w:t>
      </w:r>
      <w:r w:rsidR="00D66DDE">
        <w:rPr>
          <w:rFonts w:ascii="Arial" w:hAnsi="Arial" w:cs="Arial"/>
          <w:sz w:val="21"/>
          <w:szCs w:val="21"/>
          <w:lang w:val="pl-PL"/>
        </w:rPr>
        <w:t xml:space="preserve"> </w:t>
      </w:r>
      <w:r>
        <w:rPr>
          <w:rFonts w:ascii="Arial" w:hAnsi="Arial" w:cs="Arial"/>
          <w:sz w:val="21"/>
          <w:szCs w:val="21"/>
          <w:lang w:val="pl-PL"/>
        </w:rPr>
        <w:t>rynku pojazdów użytkowych w Europie,</w:t>
      </w:r>
      <w:r>
        <w:rPr>
          <w:rFonts w:ascii="Arial" w:hAnsi="Arial" w:cs="Arial"/>
          <w:sz w:val="21"/>
          <w:szCs w:val="21"/>
          <w:vertAlign w:val="superscript"/>
          <w:lang w:val="pl-PL"/>
        </w:rPr>
        <w:t xml:space="preserve"> 3</w:t>
      </w:r>
      <w:r>
        <w:rPr>
          <w:rFonts w:ascii="Arial" w:hAnsi="Arial" w:cs="Arial"/>
          <w:sz w:val="21"/>
          <w:szCs w:val="21"/>
          <w:lang w:val="pl-PL"/>
        </w:rPr>
        <w:t xml:space="preserve"> samochody dostawcze przyczyniły się w 2021 roku do wypracowania w europejskiej gospodarce produktu o szacunkowej wartości 786 mld euro.</w:t>
      </w:r>
      <w:r>
        <w:rPr>
          <w:rFonts w:ascii="Arial" w:hAnsi="Arial" w:cs="Arial"/>
          <w:sz w:val="21"/>
          <w:szCs w:val="21"/>
          <w:lang w:val="pl-PL"/>
        </w:rPr>
        <w:t xml:space="preserve"> </w:t>
      </w:r>
      <w:r>
        <w:rPr>
          <w:rFonts w:ascii="Arial" w:hAnsi="Arial" w:cs="Arial"/>
          <w:sz w:val="21"/>
          <w:szCs w:val="21"/>
          <w:lang w:val="pl-PL"/>
        </w:rPr>
        <w:t xml:space="preserve">Ten </w:t>
      </w:r>
      <w:r>
        <w:rPr>
          <w:rFonts w:ascii="Arial" w:hAnsi="Arial" w:cs="Arial"/>
          <w:sz w:val="21"/>
          <w:szCs w:val="21"/>
          <w:lang w:val="pl-PL"/>
        </w:rPr>
        <w:t>w</w:t>
      </w:r>
      <w:r>
        <w:rPr>
          <w:rFonts w:ascii="Arial" w:hAnsi="Arial" w:cs="Arial"/>
          <w:sz w:val="21"/>
          <w:szCs w:val="21"/>
          <w:lang w:val="pl-PL"/>
        </w:rPr>
        <w:t>kład przekroczył PKB zasobnej w ropę i gaz Norwegii (</w:t>
      </w:r>
      <w:bookmarkStart w:id="1" w:name="_Hlk113918985"/>
      <w:r>
        <w:rPr>
          <w:rFonts w:ascii="Arial" w:hAnsi="Arial" w:cs="Arial"/>
          <w:sz w:val="21"/>
          <w:szCs w:val="21"/>
          <w:lang w:val="pl-PL"/>
        </w:rPr>
        <w:t>407,7 mld euro</w:t>
      </w:r>
      <w:bookmarkEnd w:id="1"/>
      <w:r>
        <w:rPr>
          <w:rFonts w:ascii="Arial" w:hAnsi="Arial" w:cs="Arial"/>
          <w:sz w:val="21"/>
          <w:szCs w:val="21"/>
          <w:lang w:val="pl-PL"/>
        </w:rPr>
        <w:t>) i prawie dorównał PKB słynącej z bankowości i dóbr luksusowych Szwajcarii (802,8 mld euro).</w:t>
      </w:r>
    </w:p>
    <w:p w14:paraId="1BC425D6" w14:textId="77777777" w:rsidR="00244826" w:rsidRDefault="00244826" w:rsidP="00D66DDE">
      <w:pPr>
        <w:contextualSpacing/>
        <w:jc w:val="both"/>
        <w:rPr>
          <w:rFonts w:ascii="Arial" w:hAnsi="Arial" w:cs="Arial"/>
          <w:sz w:val="21"/>
          <w:szCs w:val="21"/>
          <w:lang w:val="pl-PL"/>
        </w:rPr>
      </w:pPr>
    </w:p>
    <w:p w14:paraId="4EEC5024" w14:textId="77777777" w:rsidR="00244826" w:rsidRDefault="00244826" w:rsidP="00D66DDE">
      <w:pPr>
        <w:pStyle w:val="BodyText2"/>
        <w:spacing w:line="240" w:lineRule="auto"/>
        <w:contextualSpacing/>
        <w:jc w:val="both"/>
        <w:rPr>
          <w:rFonts w:ascii="Arial" w:hAnsi="Arial" w:cs="Arial"/>
          <w:sz w:val="21"/>
          <w:szCs w:val="21"/>
          <w:lang w:val="pl-PL"/>
        </w:rPr>
      </w:pPr>
      <w:r>
        <w:rPr>
          <w:rFonts w:ascii="Arial" w:hAnsi="Arial" w:cs="Arial"/>
          <w:sz w:val="21"/>
          <w:szCs w:val="21"/>
          <w:lang w:val="pl-PL"/>
        </w:rPr>
        <w:t xml:space="preserve">Według raportu, w którym zbadano wkład gospodarczy przedsiębiorstw, które wykorzystują samochody dostawcze, Niemcy były w 2021 r. największym w Europie rynkiem firm osiągających dochód dzięki samochodom dostawczym, o wypracowanej przez nie wartości 206 mld euro. W ciągu ostatnich trzech lat samochody dostawcze wniosły do gospodarki Niemiec ponad 200 mld euro. </w:t>
      </w:r>
    </w:p>
    <w:p w14:paraId="5ACB6744" w14:textId="77777777" w:rsidR="00244826" w:rsidRDefault="00244826" w:rsidP="00D66DDE">
      <w:pPr>
        <w:pStyle w:val="BodyText2"/>
        <w:spacing w:line="240" w:lineRule="auto"/>
        <w:contextualSpacing/>
        <w:jc w:val="both"/>
        <w:rPr>
          <w:rFonts w:ascii="Arial" w:hAnsi="Arial" w:cs="Arial"/>
          <w:sz w:val="21"/>
          <w:szCs w:val="21"/>
          <w:lang w:val="pl-PL"/>
        </w:rPr>
      </w:pPr>
    </w:p>
    <w:p w14:paraId="48459503" w14:textId="77777777" w:rsidR="00244826" w:rsidRDefault="00244826" w:rsidP="00D66DDE">
      <w:pPr>
        <w:pStyle w:val="BodyText2"/>
        <w:spacing w:line="240" w:lineRule="auto"/>
        <w:contextualSpacing/>
        <w:jc w:val="both"/>
        <w:rPr>
          <w:rFonts w:ascii="Arial" w:hAnsi="Arial" w:cs="Arial"/>
          <w:sz w:val="21"/>
          <w:szCs w:val="21"/>
          <w:lang w:val="pl-PL"/>
        </w:rPr>
      </w:pPr>
      <w:r>
        <w:rPr>
          <w:rFonts w:ascii="Arial" w:hAnsi="Arial" w:cs="Arial"/>
          <w:sz w:val="21"/>
          <w:szCs w:val="21"/>
          <w:lang w:val="pl-PL"/>
        </w:rPr>
        <w:t xml:space="preserve">Raport wykazał również – w związku z odchodzeniem firm od samochodów dostawczych napędzanych silnikami wysokoprężnymi na rzecz pojazdów elektrycznych – że operatorzy pojazdów </w:t>
      </w:r>
      <w:r>
        <w:rPr>
          <w:rFonts w:ascii="Arial" w:hAnsi="Arial" w:cs="Arial"/>
          <w:sz w:val="21"/>
          <w:szCs w:val="21"/>
          <w:lang w:val="pl-PL"/>
        </w:rPr>
        <w:lastRenderedPageBreak/>
        <w:t>użytkowych na głównych rynkach europejskich w 2021 r. odprowadzili do kasy publicznej z tytułu opłaty paliwowej prawie 15,3 mld euro. W Wielkiej Brytanii, gdzie obowiązywały najwyższe obciążenia fiskalne w cenie paliwa, właściciele samochodów dostawczych odprowadzili do budżetu 5,4 mld euro (4,7 mld funtów), co stanowiło prawie jedną piątą wszystkich wpływów z tytułu opłaty paliwowej.</w:t>
      </w:r>
    </w:p>
    <w:p w14:paraId="72158927" w14:textId="77777777" w:rsidR="00244826" w:rsidRDefault="00244826" w:rsidP="00D66DDE">
      <w:pPr>
        <w:pStyle w:val="BodyText2"/>
        <w:spacing w:line="240" w:lineRule="auto"/>
        <w:jc w:val="both"/>
        <w:rPr>
          <w:rFonts w:ascii="Arial" w:hAnsi="Arial" w:cs="Arial"/>
          <w:b/>
          <w:sz w:val="21"/>
          <w:szCs w:val="21"/>
          <w:lang w:val="pl-PL"/>
        </w:rPr>
      </w:pPr>
    </w:p>
    <w:p w14:paraId="3F3B9F65" w14:textId="77777777" w:rsidR="00244826" w:rsidRDefault="00244826" w:rsidP="00D66DDE">
      <w:pPr>
        <w:pStyle w:val="BodyText2"/>
        <w:spacing w:line="240" w:lineRule="auto"/>
        <w:jc w:val="both"/>
        <w:rPr>
          <w:rFonts w:ascii="Arial" w:hAnsi="Arial" w:cs="Arial"/>
          <w:b/>
          <w:sz w:val="21"/>
          <w:szCs w:val="21"/>
          <w:lang w:val="pl-PL"/>
        </w:rPr>
      </w:pPr>
      <w:r>
        <w:rPr>
          <w:rFonts w:ascii="Arial" w:hAnsi="Arial" w:cs="Arial"/>
          <w:b/>
          <w:sz w:val="21"/>
          <w:szCs w:val="21"/>
          <w:lang w:val="pl-PL"/>
        </w:rPr>
        <w:t>Ford Pro – podniesienie efektywności europejskich przedsiębiorstw</w:t>
      </w:r>
    </w:p>
    <w:p w14:paraId="6D5EB3D7" w14:textId="45EE9EA0" w:rsidR="00244826" w:rsidRDefault="00244826" w:rsidP="00D66DDE">
      <w:pPr>
        <w:pStyle w:val="BodyText2"/>
        <w:spacing w:line="240" w:lineRule="auto"/>
        <w:jc w:val="both"/>
        <w:rPr>
          <w:rFonts w:ascii="Arial" w:hAnsi="Arial" w:cs="Arial"/>
          <w:sz w:val="21"/>
          <w:szCs w:val="21"/>
          <w:lang w:val="pl-PL"/>
        </w:rPr>
      </w:pPr>
    </w:p>
    <w:p w14:paraId="65262A40" w14:textId="0AB9111F" w:rsidR="00244826" w:rsidRPr="00244826" w:rsidRDefault="00244826" w:rsidP="00D66DDE">
      <w:pPr>
        <w:jc w:val="both"/>
        <w:rPr>
          <w:rFonts w:ascii="Arial" w:hAnsi="Arial" w:cs="Arial"/>
          <w:sz w:val="21"/>
          <w:szCs w:val="21"/>
          <w:lang w:val="pl-PL"/>
        </w:rPr>
      </w:pPr>
      <w:r>
        <w:rPr>
          <w:rFonts w:ascii="Arial" w:hAnsi="Arial" w:cs="Arial"/>
          <w:sz w:val="21"/>
          <w:szCs w:val="21"/>
          <w:lang w:val="pl-PL"/>
        </w:rPr>
        <w:t xml:space="preserve">Ford Pro to pierwsze tego rodzaju przedsiębiorstwo w sektorze pojazdów użytkowych, zapewniające </w:t>
      </w:r>
      <w:r w:rsidRPr="00244826">
        <w:rPr>
          <w:rFonts w:ascii="Arial" w:hAnsi="Arial" w:cs="Arial"/>
          <w:sz w:val="21"/>
          <w:szCs w:val="21"/>
          <w:lang w:val="pl-PL"/>
        </w:rPr>
        <w:t xml:space="preserve">zintegrowane, </w:t>
      </w:r>
      <w:r w:rsidRPr="00244826">
        <w:rPr>
          <w:rStyle w:val="czeinternetowe"/>
          <w:rFonts w:ascii="Arial" w:hAnsi="Arial" w:cs="Arial"/>
          <w:color w:val="auto"/>
          <w:sz w:val="21"/>
          <w:szCs w:val="21"/>
          <w:u w:val="none"/>
          <w:lang w:val="pl-PL"/>
        </w:rPr>
        <w:t>cyfrowe rozwiązania</w:t>
      </w:r>
      <w:r w:rsidRPr="00244826">
        <w:rPr>
          <w:rFonts w:ascii="Arial" w:hAnsi="Arial" w:cs="Arial"/>
          <w:sz w:val="21"/>
          <w:szCs w:val="21"/>
          <w:lang w:val="pl-PL"/>
        </w:rPr>
        <w:t xml:space="preserve">, które pomagają klientom zarządzać flotami pojazdów w wygody i efektywny sposób, bez względu na to, czy korzystają z pojazdów z silnikami wysokoprężnymi, benzynowymi, czy z </w:t>
      </w:r>
      <w:r w:rsidRPr="00244826">
        <w:rPr>
          <w:rStyle w:val="czeinternetowe"/>
          <w:rFonts w:ascii="Arial" w:hAnsi="Arial" w:cs="Arial"/>
          <w:color w:val="auto"/>
          <w:sz w:val="21"/>
          <w:szCs w:val="21"/>
          <w:u w:val="none"/>
          <w:lang w:val="pl-PL"/>
        </w:rPr>
        <w:t>modeli elektrycznych</w:t>
      </w:r>
      <w:r w:rsidRPr="00244826">
        <w:rPr>
          <w:rFonts w:ascii="Arial" w:hAnsi="Arial" w:cs="Arial"/>
          <w:sz w:val="21"/>
          <w:szCs w:val="21"/>
          <w:lang w:val="pl-PL"/>
        </w:rPr>
        <w:t xml:space="preserve">, a nawet pojazdów innych producentów. </w:t>
      </w:r>
    </w:p>
    <w:p w14:paraId="042FCFDE" w14:textId="77777777" w:rsidR="00244826" w:rsidRPr="00244826" w:rsidRDefault="00244826" w:rsidP="00D66DDE">
      <w:pPr>
        <w:jc w:val="both"/>
        <w:rPr>
          <w:rFonts w:ascii="Arial" w:hAnsi="Arial" w:cs="Arial"/>
          <w:sz w:val="21"/>
          <w:szCs w:val="21"/>
          <w:lang w:val="pl-PL"/>
        </w:rPr>
      </w:pPr>
    </w:p>
    <w:p w14:paraId="3946195E" w14:textId="45F0E784" w:rsidR="00244826" w:rsidRPr="00244826" w:rsidRDefault="00244826" w:rsidP="00D66DDE">
      <w:pPr>
        <w:jc w:val="both"/>
        <w:rPr>
          <w:rFonts w:ascii="Arial" w:hAnsi="Arial" w:cs="Arial"/>
          <w:sz w:val="21"/>
          <w:szCs w:val="21"/>
          <w:lang w:val="pl-PL"/>
        </w:rPr>
      </w:pPr>
      <w:r w:rsidRPr="00244826">
        <w:rPr>
          <w:rFonts w:ascii="Arial" w:hAnsi="Arial" w:cs="Arial"/>
          <w:sz w:val="21"/>
          <w:szCs w:val="21"/>
          <w:lang w:val="pl-PL"/>
        </w:rPr>
        <w:t>Ford Pro jest od siedmiu kolejnych lat</w:t>
      </w:r>
      <w:r w:rsidRPr="00244826">
        <w:rPr>
          <w:rFonts w:ascii="Arial" w:hAnsi="Arial" w:cs="Arial"/>
          <w:sz w:val="21"/>
          <w:szCs w:val="21"/>
          <w:vertAlign w:val="superscript"/>
          <w:lang w:val="pl-PL"/>
        </w:rPr>
        <w:t xml:space="preserve"> 3</w:t>
      </w:r>
      <w:r w:rsidRPr="00244826">
        <w:rPr>
          <w:rFonts w:ascii="Arial" w:hAnsi="Arial" w:cs="Arial"/>
          <w:sz w:val="21"/>
          <w:szCs w:val="21"/>
          <w:lang w:val="pl-PL"/>
        </w:rPr>
        <w:t xml:space="preserve"> najlepiej sprzedającą się w Europie marką pojazdów użytkowych. Producent przedstawił niedawno </w:t>
      </w:r>
      <w:r w:rsidRPr="00244826">
        <w:rPr>
          <w:rStyle w:val="czeinternetowe"/>
          <w:rFonts w:ascii="Arial" w:hAnsi="Arial" w:cs="Arial"/>
          <w:color w:val="auto"/>
          <w:sz w:val="21"/>
          <w:szCs w:val="21"/>
          <w:u w:val="none"/>
          <w:lang w:val="pl-PL"/>
        </w:rPr>
        <w:t xml:space="preserve">nowego E-Transita </w:t>
      </w:r>
      <w:proofErr w:type="spellStart"/>
      <w:r w:rsidRPr="00244826">
        <w:rPr>
          <w:rStyle w:val="czeinternetowe"/>
          <w:rFonts w:ascii="Arial" w:hAnsi="Arial" w:cs="Arial"/>
          <w:color w:val="auto"/>
          <w:sz w:val="21"/>
          <w:szCs w:val="21"/>
          <w:u w:val="none"/>
          <w:lang w:val="pl-PL"/>
        </w:rPr>
        <w:t>Customa</w:t>
      </w:r>
      <w:proofErr w:type="spellEnd"/>
      <w:r w:rsidRPr="00244826">
        <w:rPr>
          <w:rFonts w:ascii="Arial" w:hAnsi="Arial" w:cs="Arial"/>
          <w:sz w:val="21"/>
          <w:szCs w:val="21"/>
          <w:lang w:val="pl-PL"/>
        </w:rPr>
        <w:t xml:space="preserve"> – w pełni elektryczną wersję najlepiej sprzedającego się w Europie samochodu dostawczego. Firma już wdraża plan pomocy europejskim klientom w przejściu na elektryczne samochody dostawcze – do tej pory zamówiono ponad 9 000 w </w:t>
      </w:r>
      <w:r w:rsidRPr="00244826">
        <w:rPr>
          <w:rStyle w:val="czeinternetowe"/>
          <w:rFonts w:ascii="Arial" w:hAnsi="Arial" w:cs="Arial"/>
          <w:color w:val="auto"/>
          <w:sz w:val="21"/>
          <w:szCs w:val="21"/>
          <w:u w:val="none"/>
          <w:lang w:val="pl-PL"/>
        </w:rPr>
        <w:t>pełni elektrycznych E-Transitów</w:t>
      </w:r>
      <w:r w:rsidRPr="00244826">
        <w:rPr>
          <w:rFonts w:ascii="Arial" w:hAnsi="Arial" w:cs="Arial"/>
          <w:sz w:val="21"/>
          <w:szCs w:val="21"/>
          <w:lang w:val="pl-PL"/>
        </w:rPr>
        <w:t xml:space="preserve">. Ford zobowiązał się do wprowadzenia na rynek europejski do końca 2024 roku </w:t>
      </w:r>
      <w:r w:rsidRPr="00244826">
        <w:rPr>
          <w:rStyle w:val="czeinternetowe"/>
          <w:rFonts w:ascii="Arial" w:hAnsi="Arial" w:cs="Arial"/>
          <w:color w:val="auto"/>
          <w:sz w:val="21"/>
          <w:szCs w:val="21"/>
          <w:u w:val="none"/>
          <w:lang w:val="pl-PL"/>
        </w:rPr>
        <w:t>pięciu w pełni elektrycznych pojazdów użytkowych</w:t>
      </w:r>
      <w:r w:rsidRPr="00244826">
        <w:rPr>
          <w:rFonts w:ascii="Arial" w:hAnsi="Arial" w:cs="Arial"/>
          <w:sz w:val="21"/>
          <w:szCs w:val="21"/>
          <w:lang w:val="pl-PL"/>
        </w:rPr>
        <w:t xml:space="preserve">. </w:t>
      </w:r>
    </w:p>
    <w:p w14:paraId="6F10015E" w14:textId="3606825D" w:rsidR="00244826" w:rsidRDefault="00244826" w:rsidP="00D66DDE">
      <w:pPr>
        <w:pStyle w:val="BodyText2"/>
        <w:spacing w:line="240" w:lineRule="auto"/>
        <w:jc w:val="both"/>
        <w:rPr>
          <w:rFonts w:ascii="Arial" w:hAnsi="Arial" w:cs="Arial"/>
          <w:sz w:val="21"/>
          <w:szCs w:val="21"/>
          <w:lang w:val="pl-PL"/>
        </w:rPr>
      </w:pPr>
    </w:p>
    <w:p w14:paraId="3C2159D7" w14:textId="232FB214" w:rsidR="00244826" w:rsidRPr="00244826" w:rsidRDefault="00244826" w:rsidP="00D66DDE">
      <w:pPr>
        <w:pStyle w:val="BodyText2"/>
        <w:spacing w:line="240" w:lineRule="auto"/>
        <w:jc w:val="both"/>
        <w:rPr>
          <w:rFonts w:ascii="Arial" w:hAnsi="Arial" w:cs="Arial"/>
          <w:color w:val="000000" w:themeColor="text1"/>
          <w:sz w:val="21"/>
          <w:szCs w:val="21"/>
          <w:lang w:val="pl-PL"/>
        </w:rPr>
      </w:pPr>
      <w:r w:rsidRPr="00244826">
        <w:rPr>
          <w:rFonts w:ascii="Arial" w:eastAsia="Arial Unicode MS" w:hAnsi="Arial" w:cs="Arial"/>
          <w:sz w:val="21"/>
          <w:szCs w:val="21"/>
          <w:lang w:val="pl-PL"/>
        </w:rPr>
        <w:t>„Ogromna liczba niezwykle różnorodnych firm jest zależna od pracy, jaką wykonują samochody dostawcze. Jesteśmy liderem tego rynku, ponieważ żadnej innej marce nie zaufało tak wielu klientów jak Fordowi Pro, który pomaga osiągnąć jak najwyższą efektywność pracy w ich firmach. Nasi klienci stanowią siłę napędową europejskiej gospodarki, a Ford Pro jest dumny, że może dodać blasku ich wysiłkom”</w:t>
      </w:r>
      <w:r w:rsidRPr="00244826">
        <w:rPr>
          <w:rFonts w:ascii="Arial" w:eastAsia="Arial Unicode MS" w:hAnsi="Arial" w:cs="Arial"/>
          <w:sz w:val="21"/>
          <w:szCs w:val="21"/>
          <w:lang w:val="pl-PL"/>
        </w:rPr>
        <w:t xml:space="preserve"> – powiedział </w:t>
      </w:r>
      <w:r w:rsidRPr="00244826">
        <w:rPr>
          <w:rFonts w:ascii="Arial" w:hAnsi="Arial" w:cs="Arial"/>
          <w:sz w:val="21"/>
          <w:szCs w:val="21"/>
          <w:lang w:val="pl-PL"/>
        </w:rPr>
        <w:t xml:space="preserve">Hans </w:t>
      </w:r>
      <w:proofErr w:type="spellStart"/>
      <w:r w:rsidRPr="00244826">
        <w:rPr>
          <w:rFonts w:ascii="Arial" w:hAnsi="Arial" w:cs="Arial"/>
          <w:sz w:val="21"/>
          <w:szCs w:val="21"/>
          <w:lang w:val="pl-PL"/>
        </w:rPr>
        <w:t>Schep</w:t>
      </w:r>
      <w:proofErr w:type="spellEnd"/>
      <w:r w:rsidRPr="00244826">
        <w:rPr>
          <w:rFonts w:ascii="Arial" w:hAnsi="Arial" w:cs="Arial"/>
          <w:sz w:val="21"/>
          <w:szCs w:val="21"/>
          <w:lang w:val="pl-PL"/>
        </w:rPr>
        <w:t>, Dyrektor Generalny Ford Pro Europe</w:t>
      </w:r>
      <w:r w:rsidRPr="00244826">
        <w:rPr>
          <w:rFonts w:ascii="Arial" w:hAnsi="Arial" w:cs="Arial"/>
          <w:sz w:val="21"/>
          <w:szCs w:val="21"/>
          <w:lang w:val="pl-PL"/>
        </w:rPr>
        <w:t>.</w:t>
      </w:r>
    </w:p>
    <w:p w14:paraId="71F72574" w14:textId="77777777" w:rsidR="00244826" w:rsidRDefault="00244826" w:rsidP="00D66DDE">
      <w:pPr>
        <w:pStyle w:val="BodyText2"/>
        <w:spacing w:line="240" w:lineRule="auto"/>
        <w:jc w:val="both"/>
        <w:rPr>
          <w:rFonts w:ascii="Arial" w:eastAsia="Arial Unicode MS" w:hAnsi="Arial" w:cs="Arial"/>
          <w:sz w:val="21"/>
          <w:szCs w:val="21"/>
          <w:lang w:val="pl-PL"/>
        </w:rPr>
      </w:pPr>
    </w:p>
    <w:p w14:paraId="0CDC3C85" w14:textId="77777777" w:rsidR="00D66DDE" w:rsidRDefault="00244826" w:rsidP="00D66DDE">
      <w:pPr>
        <w:pStyle w:val="BodyText2"/>
        <w:spacing w:line="240" w:lineRule="auto"/>
        <w:jc w:val="both"/>
        <w:rPr>
          <w:rFonts w:ascii="Arial" w:eastAsia="Arial Unicode MS" w:hAnsi="Arial" w:cs="Arial"/>
          <w:sz w:val="21"/>
          <w:szCs w:val="21"/>
          <w:lang w:val="pl-PL"/>
        </w:rPr>
      </w:pPr>
      <w:r w:rsidRPr="00244826">
        <w:rPr>
          <w:rFonts w:ascii="Arial" w:eastAsia="Arial Unicode MS" w:hAnsi="Arial" w:cs="Arial"/>
          <w:sz w:val="21"/>
          <w:szCs w:val="21"/>
          <w:vertAlign w:val="superscript"/>
          <w:lang w:val="pl-PL"/>
        </w:rPr>
        <w:t xml:space="preserve">1 </w:t>
      </w:r>
      <w:r w:rsidRPr="00244826">
        <w:rPr>
          <w:rStyle w:val="czeinternetowe"/>
          <w:rFonts w:ascii="Arial" w:eastAsia="Arial Unicode MS" w:hAnsi="Arial" w:cs="Arial"/>
          <w:color w:val="auto"/>
          <w:sz w:val="21"/>
          <w:szCs w:val="21"/>
          <w:u w:val="none"/>
          <w:lang w:val="pl-PL"/>
        </w:rPr>
        <w:t>Bank Światowy, 2021.</w:t>
      </w:r>
    </w:p>
    <w:p w14:paraId="3164DA63" w14:textId="17B16E2C" w:rsidR="00244826" w:rsidRDefault="00244826" w:rsidP="00D66DDE">
      <w:pPr>
        <w:pStyle w:val="BodyText2"/>
        <w:spacing w:line="240" w:lineRule="auto"/>
        <w:jc w:val="both"/>
        <w:rPr>
          <w:rFonts w:ascii="Arial" w:eastAsia="Arial Unicode MS" w:hAnsi="Arial" w:cs="Arial"/>
          <w:sz w:val="21"/>
          <w:szCs w:val="21"/>
          <w:lang w:val="pl-PL"/>
        </w:rPr>
      </w:pPr>
      <w:r>
        <w:rPr>
          <w:rFonts w:ascii="Arial" w:eastAsia="Arial Unicode MS" w:hAnsi="Arial" w:cs="Arial"/>
          <w:sz w:val="21"/>
          <w:szCs w:val="21"/>
          <w:lang w:val="pl-PL"/>
        </w:rPr>
        <w:br/>
      </w:r>
      <w:r>
        <w:rPr>
          <w:rFonts w:ascii="Arial" w:eastAsia="Arial Unicode MS" w:hAnsi="Arial" w:cs="Arial"/>
          <w:sz w:val="21"/>
          <w:szCs w:val="21"/>
          <w:vertAlign w:val="superscript"/>
          <w:lang w:val="pl-PL"/>
        </w:rPr>
        <w:t xml:space="preserve">2 </w:t>
      </w:r>
      <w:r>
        <w:rPr>
          <w:rFonts w:ascii="Arial" w:eastAsia="Arial Unicode MS" w:hAnsi="Arial" w:cs="Arial"/>
          <w:sz w:val="21"/>
          <w:szCs w:val="21"/>
          <w:lang w:val="pl-PL"/>
        </w:rPr>
        <w:t xml:space="preserve">Raport Centre for </w:t>
      </w:r>
      <w:proofErr w:type="spellStart"/>
      <w:r>
        <w:rPr>
          <w:rFonts w:ascii="Arial" w:eastAsia="Arial Unicode MS" w:hAnsi="Arial" w:cs="Arial"/>
          <w:sz w:val="21"/>
          <w:szCs w:val="21"/>
          <w:lang w:val="pl-PL"/>
        </w:rPr>
        <w:t>Economics</w:t>
      </w:r>
      <w:proofErr w:type="spellEnd"/>
      <w:r>
        <w:rPr>
          <w:rFonts w:ascii="Arial" w:eastAsia="Arial Unicode MS" w:hAnsi="Arial" w:cs="Arial"/>
          <w:sz w:val="21"/>
          <w:szCs w:val="21"/>
          <w:lang w:val="pl-PL"/>
        </w:rPr>
        <w:t xml:space="preserve"> and Business </w:t>
      </w:r>
      <w:proofErr w:type="spellStart"/>
      <w:r>
        <w:rPr>
          <w:rFonts w:ascii="Arial" w:eastAsia="Arial Unicode MS" w:hAnsi="Arial" w:cs="Arial"/>
          <w:sz w:val="21"/>
          <w:szCs w:val="21"/>
          <w:lang w:val="pl-PL"/>
        </w:rPr>
        <w:t>Research</w:t>
      </w:r>
      <w:proofErr w:type="spellEnd"/>
      <w:r>
        <w:rPr>
          <w:rFonts w:ascii="Arial" w:eastAsia="Arial Unicode MS" w:hAnsi="Arial" w:cs="Arial"/>
          <w:sz w:val="21"/>
          <w:szCs w:val="21"/>
          <w:lang w:val="pl-PL"/>
        </w:rPr>
        <w:t xml:space="preserve"> z 2 sierpnia 2022 r., szacujący aktywność gospodarczą w branżach zależnych od samochodów dostawczych na siedmiu rynkach krajowych plus UE. Raport powstał na zlecenie H+K </w:t>
      </w:r>
      <w:proofErr w:type="spellStart"/>
      <w:r>
        <w:rPr>
          <w:rFonts w:ascii="Arial" w:eastAsia="Arial Unicode MS" w:hAnsi="Arial" w:cs="Arial"/>
          <w:sz w:val="21"/>
          <w:szCs w:val="21"/>
          <w:lang w:val="pl-PL"/>
        </w:rPr>
        <w:t>Strategies</w:t>
      </w:r>
      <w:proofErr w:type="spellEnd"/>
      <w:r>
        <w:rPr>
          <w:rFonts w:ascii="Arial" w:eastAsia="Arial Unicode MS" w:hAnsi="Arial" w:cs="Arial"/>
          <w:sz w:val="21"/>
          <w:szCs w:val="21"/>
          <w:lang w:val="pl-PL"/>
        </w:rPr>
        <w:t xml:space="preserve"> i Ford Motor Company.</w:t>
      </w:r>
    </w:p>
    <w:p w14:paraId="051ADC90" w14:textId="77777777" w:rsidR="00244826" w:rsidRDefault="00244826" w:rsidP="00D66DDE">
      <w:pPr>
        <w:pStyle w:val="BodyText2"/>
        <w:spacing w:line="240" w:lineRule="auto"/>
        <w:jc w:val="both"/>
        <w:rPr>
          <w:rFonts w:ascii="Arial" w:eastAsia="Arial Unicode MS" w:hAnsi="Arial" w:cs="Arial"/>
          <w:sz w:val="21"/>
          <w:szCs w:val="21"/>
          <w:lang w:val="pl-PL"/>
        </w:rPr>
      </w:pPr>
    </w:p>
    <w:p w14:paraId="728C368F" w14:textId="77777777" w:rsidR="00244826" w:rsidRDefault="00244826" w:rsidP="00D66DDE">
      <w:pPr>
        <w:pStyle w:val="BodyText2"/>
        <w:spacing w:line="240" w:lineRule="auto"/>
        <w:jc w:val="both"/>
        <w:rPr>
          <w:rFonts w:ascii="Arial" w:eastAsia="Arial Unicode MS" w:hAnsi="Arial" w:cs="Arial"/>
          <w:sz w:val="21"/>
          <w:szCs w:val="21"/>
          <w:lang w:val="pl-PL"/>
        </w:rPr>
      </w:pPr>
      <w:r>
        <w:rPr>
          <w:rFonts w:ascii="Arial" w:eastAsia="Arial Unicode MS" w:hAnsi="Arial" w:cs="Arial"/>
          <w:sz w:val="21"/>
          <w:szCs w:val="21"/>
          <w:vertAlign w:val="superscript"/>
          <w:lang w:val="pl-PL"/>
        </w:rPr>
        <w:t>3</w:t>
      </w:r>
      <w:r>
        <w:rPr>
          <w:rFonts w:ascii="Arial" w:eastAsia="Arial Unicode MS" w:hAnsi="Arial" w:cs="Arial"/>
          <w:sz w:val="21"/>
          <w:szCs w:val="21"/>
          <w:lang w:val="pl-PL"/>
        </w:rPr>
        <w:t xml:space="preserve"> Austria, Belgia, Wielka Brytania, Czechy, Dania, Finlandia, Francja, Niemcy, Grecja, Węgry, Irlandia, Włochy, Holandia, Norwegia, Polska, Portugalia, Hiszpania, Rumunia, Szwecja, Szwajcaria i Turcja.</w:t>
      </w:r>
    </w:p>
    <w:p w14:paraId="0815F946" w14:textId="77777777" w:rsidR="00244826" w:rsidRDefault="00244826" w:rsidP="00244826">
      <w:pPr>
        <w:pStyle w:val="BodyText2"/>
        <w:spacing w:line="240" w:lineRule="auto"/>
        <w:rPr>
          <w:rFonts w:ascii="Arial" w:hAnsi="Arial" w:cs="Arial"/>
          <w:b/>
          <w:sz w:val="21"/>
          <w:szCs w:val="21"/>
          <w:lang w:val="pl-PL"/>
        </w:rPr>
      </w:pPr>
    </w:p>
    <w:p w14:paraId="18EDF176" w14:textId="4E08A681" w:rsidR="004E2F83" w:rsidRDefault="004E2F83" w:rsidP="00244826">
      <w:pPr>
        <w:pStyle w:val="BodyText2"/>
        <w:spacing w:line="240" w:lineRule="auto"/>
        <w:jc w:val="both"/>
        <w:rPr>
          <w:rFonts w:ascii="Arial" w:hAnsi="Arial" w:cs="Arial"/>
          <w:sz w:val="22"/>
          <w:szCs w:val="22"/>
          <w:lang w:val="pl-PL"/>
        </w:rPr>
      </w:pPr>
    </w:p>
    <w:p w14:paraId="7B5506CB" w14:textId="77777777" w:rsidR="004E2F83" w:rsidRDefault="00C84963" w:rsidP="00244826">
      <w:pPr>
        <w:jc w:val="center"/>
        <w:rPr>
          <w:rFonts w:ascii="Arial" w:hAnsi="Arial" w:cs="Arial"/>
          <w:sz w:val="22"/>
          <w:szCs w:val="22"/>
          <w:lang w:val="pl-PL"/>
        </w:rPr>
      </w:pPr>
      <w:r>
        <w:rPr>
          <w:rFonts w:ascii="Arial" w:hAnsi="Arial" w:cs="Arial"/>
          <w:sz w:val="22"/>
          <w:szCs w:val="22"/>
          <w:lang w:val="pl-PL"/>
        </w:rPr>
        <w:t># # #</w:t>
      </w:r>
    </w:p>
    <w:p w14:paraId="033FBFB7" w14:textId="2746B064" w:rsidR="004E2F83" w:rsidRPr="00244826" w:rsidRDefault="004E2F83" w:rsidP="00244826">
      <w:pPr>
        <w:tabs>
          <w:tab w:val="left" w:pos="7496"/>
        </w:tabs>
        <w:jc w:val="both"/>
        <w:rPr>
          <w:rFonts w:ascii="Arial" w:hAnsi="Arial" w:cs="Arial"/>
          <w:sz w:val="22"/>
          <w:szCs w:val="22"/>
          <w:lang w:val="pl-PL"/>
        </w:rPr>
      </w:pPr>
    </w:p>
    <w:p w14:paraId="3FAA76BE" w14:textId="77777777" w:rsidR="004E2F83" w:rsidRDefault="004E2F83" w:rsidP="00C84963">
      <w:pPr>
        <w:jc w:val="both"/>
        <w:rPr>
          <w:rFonts w:ascii="Arial" w:hAnsi="Arial" w:cs="Arial"/>
          <w:sz w:val="22"/>
          <w:szCs w:val="22"/>
          <w:lang w:val="pl-PL"/>
        </w:rPr>
      </w:pPr>
    </w:p>
    <w:p w14:paraId="099A37C3" w14:textId="77777777" w:rsidR="004E2F83" w:rsidRDefault="00C84963" w:rsidP="00C84963">
      <w:pPr>
        <w:jc w:val="both"/>
        <w:rPr>
          <w:rFonts w:ascii="Arial" w:hAnsi="Arial" w:cs="Arial"/>
          <w:b/>
          <w:bCs/>
          <w:i/>
          <w:iCs/>
          <w:szCs w:val="20"/>
          <w:lang w:val="pl-PL"/>
        </w:rPr>
      </w:pPr>
      <w:r>
        <w:rPr>
          <w:rFonts w:ascii="Arial" w:hAnsi="Arial" w:cs="Arial"/>
          <w:b/>
          <w:bCs/>
          <w:i/>
          <w:iCs/>
          <w:szCs w:val="20"/>
          <w:lang w:val="pl-PL"/>
        </w:rPr>
        <w:t>O Ford Motor Company</w:t>
      </w:r>
    </w:p>
    <w:p w14:paraId="7C59EB0F" w14:textId="77777777" w:rsidR="004E2F83" w:rsidRDefault="00C84963" w:rsidP="00C84963">
      <w:pPr>
        <w:jc w:val="both"/>
        <w:rPr>
          <w:rFonts w:ascii="Arial" w:hAnsi="Arial" w:cs="Arial"/>
          <w:i/>
          <w:iCs/>
          <w:szCs w:val="20"/>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209B99A2" w14:textId="77777777" w:rsidR="004E2F83" w:rsidRDefault="004E2F83" w:rsidP="00C84963">
      <w:pPr>
        <w:jc w:val="both"/>
        <w:rPr>
          <w:rFonts w:ascii="Arial" w:hAnsi="Arial" w:cs="Arial"/>
          <w:i/>
          <w:iCs/>
          <w:szCs w:val="20"/>
          <w:lang w:val="pl-PL"/>
        </w:rPr>
      </w:pPr>
    </w:p>
    <w:p w14:paraId="0C61A702" w14:textId="77777777" w:rsidR="004E2F83" w:rsidRDefault="00C84963" w:rsidP="00C84963">
      <w:pPr>
        <w:jc w:val="both"/>
        <w:rPr>
          <w:rFonts w:ascii="Arial" w:hAnsi="Arial" w:cs="Arial"/>
          <w:i/>
          <w:iCs/>
          <w:szCs w:val="22"/>
          <w:lang w:val="pl-PL"/>
        </w:rPr>
      </w:pPr>
      <w:r>
        <w:rPr>
          <w:rFonts w:ascii="Arial" w:hAnsi="Arial" w:cs="Arial"/>
          <w:b/>
          <w:bCs/>
          <w:i/>
          <w:iCs/>
          <w:lang w:val="pl-PL"/>
        </w:rPr>
        <w:lastRenderedPageBreak/>
        <w:t>Ford of Europe wytwarza, sprzedaje i serwisuje pojazdy marki Ford na 50 indywidualnych rynkach, zatrudniając około 35 tys. pracowników we własnych oddziałach i łącznie około 54 tys. osób, po uwzględnieniu spółek typu joint venture oraz działalności nieskonsolidowanej</w:t>
      </w:r>
      <w:r>
        <w:rPr>
          <w:rFonts w:ascii="Arial" w:hAnsi="Arial" w:cs="Arial"/>
          <w:i/>
          <w:iCs/>
          <w:lang w:val="pl-PL"/>
        </w:rPr>
        <w:t xml:space="preserve">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1950B253" w14:textId="77777777" w:rsidR="004E2F83" w:rsidRDefault="004E2F83" w:rsidP="00C84963">
      <w:pPr>
        <w:jc w:val="both"/>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C84963" w14:paraId="1FAEF6E2" w14:textId="77777777" w:rsidTr="00C84963">
        <w:tc>
          <w:tcPr>
            <w:tcW w:w="1373" w:type="dxa"/>
            <w:shd w:val="clear" w:color="auto" w:fill="auto"/>
          </w:tcPr>
          <w:p w14:paraId="47D5CF47" w14:textId="75055112" w:rsidR="00C84963" w:rsidRDefault="00C84963" w:rsidP="00C84963">
            <w:pPr>
              <w:widowControl w:val="0"/>
              <w:jc w:val="both"/>
              <w:rPr>
                <w:rFonts w:ascii="Arial" w:hAnsi="Arial" w:cs="Arial"/>
                <w:b/>
                <w:szCs w:val="20"/>
                <w:lang w:val="pl-PL"/>
              </w:rPr>
            </w:pPr>
            <w:r w:rsidRPr="008675CC">
              <w:rPr>
                <w:rFonts w:ascii="Arial" w:hAnsi="Arial" w:cs="Arial"/>
                <w:b/>
                <w:szCs w:val="20"/>
                <w:lang w:val="pl-PL"/>
              </w:rPr>
              <w:t>Kontakt:</w:t>
            </w:r>
          </w:p>
        </w:tc>
        <w:tc>
          <w:tcPr>
            <w:tcW w:w="7987" w:type="dxa"/>
            <w:shd w:val="clear" w:color="auto" w:fill="auto"/>
          </w:tcPr>
          <w:p w14:paraId="707DA850" w14:textId="7D689A0D" w:rsidR="00C84963" w:rsidRDefault="00C84963" w:rsidP="00C84963">
            <w:pPr>
              <w:widowControl w:val="0"/>
              <w:jc w:val="both"/>
              <w:rPr>
                <w:rFonts w:ascii="Arial" w:hAnsi="Arial" w:cs="Arial"/>
                <w:szCs w:val="20"/>
                <w:lang w:val="pl-PL"/>
              </w:rPr>
            </w:pPr>
            <w:r w:rsidRPr="008675CC">
              <w:rPr>
                <w:rFonts w:ascii="Arial" w:hAnsi="Arial" w:cs="Arial"/>
                <w:szCs w:val="20"/>
                <w:lang w:val="pl-PL"/>
              </w:rPr>
              <w:t>Mariusz Jasiński</w:t>
            </w:r>
          </w:p>
        </w:tc>
      </w:tr>
      <w:tr w:rsidR="00C84963" w:rsidRPr="00244826" w14:paraId="2CCBB8E4" w14:textId="77777777" w:rsidTr="00C84963">
        <w:tc>
          <w:tcPr>
            <w:tcW w:w="1373" w:type="dxa"/>
            <w:shd w:val="clear" w:color="auto" w:fill="auto"/>
          </w:tcPr>
          <w:p w14:paraId="1641EC49" w14:textId="77777777" w:rsidR="00C84963" w:rsidRDefault="00C84963" w:rsidP="00C84963">
            <w:pPr>
              <w:widowControl w:val="0"/>
              <w:jc w:val="both"/>
              <w:rPr>
                <w:rFonts w:ascii="Arial" w:hAnsi="Arial" w:cs="Arial"/>
                <w:szCs w:val="20"/>
                <w:lang w:val="pl-PL"/>
              </w:rPr>
            </w:pPr>
          </w:p>
        </w:tc>
        <w:tc>
          <w:tcPr>
            <w:tcW w:w="7987" w:type="dxa"/>
            <w:shd w:val="clear" w:color="auto" w:fill="auto"/>
          </w:tcPr>
          <w:p w14:paraId="7A125820" w14:textId="3D68D4EA" w:rsidR="00C84963" w:rsidRDefault="00C84963" w:rsidP="00C84963">
            <w:pPr>
              <w:widowControl w:val="0"/>
              <w:jc w:val="both"/>
              <w:rPr>
                <w:rFonts w:ascii="Arial" w:hAnsi="Arial" w:cs="Arial"/>
                <w:szCs w:val="20"/>
                <w:lang w:val="pl-PL"/>
              </w:rPr>
            </w:pPr>
            <w:r w:rsidRPr="008675CC">
              <w:rPr>
                <w:rFonts w:ascii="Arial" w:hAnsi="Arial" w:cs="Arial"/>
                <w:sz w:val="22"/>
                <w:szCs w:val="22"/>
                <w:lang w:val="pl-PL" w:eastAsia="ar-SA" w:bidi="hi-IN"/>
              </w:rPr>
              <w:t xml:space="preserve">Ford Polska Sp. z o.o.  </w:t>
            </w:r>
          </w:p>
        </w:tc>
      </w:tr>
      <w:tr w:rsidR="00C84963" w14:paraId="4BA25B07" w14:textId="77777777" w:rsidTr="00C84963">
        <w:tc>
          <w:tcPr>
            <w:tcW w:w="1373" w:type="dxa"/>
            <w:shd w:val="clear" w:color="auto" w:fill="auto"/>
          </w:tcPr>
          <w:p w14:paraId="1E80C0A5" w14:textId="77777777" w:rsidR="00C84963" w:rsidRDefault="00C84963" w:rsidP="00C84963">
            <w:pPr>
              <w:widowControl w:val="0"/>
              <w:jc w:val="both"/>
              <w:rPr>
                <w:rFonts w:ascii="Arial" w:hAnsi="Arial" w:cs="Arial"/>
                <w:szCs w:val="20"/>
                <w:lang w:val="pl-PL"/>
              </w:rPr>
            </w:pPr>
          </w:p>
        </w:tc>
        <w:tc>
          <w:tcPr>
            <w:tcW w:w="7987" w:type="dxa"/>
            <w:shd w:val="clear" w:color="auto" w:fill="auto"/>
          </w:tcPr>
          <w:p w14:paraId="4C6B4E29" w14:textId="5D2A0EC6" w:rsidR="00C84963" w:rsidRDefault="00C84963" w:rsidP="00C84963">
            <w:pPr>
              <w:widowControl w:val="0"/>
              <w:jc w:val="both"/>
              <w:rPr>
                <w:rFonts w:ascii="Arial" w:hAnsi="Arial" w:cs="Arial"/>
                <w:szCs w:val="20"/>
                <w:lang w:val="pl-PL"/>
              </w:rPr>
            </w:pPr>
            <w:r w:rsidRPr="008675CC">
              <w:rPr>
                <w:rFonts w:ascii="Arial" w:hAnsi="Arial" w:cs="Arial"/>
                <w:sz w:val="22"/>
                <w:szCs w:val="22"/>
                <w:lang w:val="pl-PL" w:eastAsia="ar-SA" w:bidi="hi-IN"/>
              </w:rPr>
              <w:t xml:space="preserve">(22) 6086815   </w:t>
            </w:r>
          </w:p>
        </w:tc>
      </w:tr>
      <w:tr w:rsidR="00C84963" w14:paraId="5E8A144E" w14:textId="77777777" w:rsidTr="00C84963">
        <w:tc>
          <w:tcPr>
            <w:tcW w:w="1373" w:type="dxa"/>
            <w:shd w:val="clear" w:color="auto" w:fill="auto"/>
          </w:tcPr>
          <w:p w14:paraId="2E8AF71B" w14:textId="77777777" w:rsidR="00C84963" w:rsidRDefault="00C84963" w:rsidP="00C84963">
            <w:pPr>
              <w:widowControl w:val="0"/>
              <w:jc w:val="both"/>
              <w:rPr>
                <w:rFonts w:ascii="Arial" w:hAnsi="Arial" w:cs="Arial"/>
                <w:szCs w:val="20"/>
                <w:lang w:val="pl-PL"/>
              </w:rPr>
            </w:pPr>
          </w:p>
        </w:tc>
        <w:tc>
          <w:tcPr>
            <w:tcW w:w="7987" w:type="dxa"/>
            <w:shd w:val="clear" w:color="auto" w:fill="auto"/>
          </w:tcPr>
          <w:p w14:paraId="24369F4D" w14:textId="705647F9" w:rsidR="00C84963" w:rsidRDefault="00C84963" w:rsidP="00C84963">
            <w:pPr>
              <w:widowControl w:val="0"/>
              <w:jc w:val="both"/>
              <w:rPr>
                <w:rFonts w:ascii="Arial" w:hAnsi="Arial" w:cs="Arial"/>
                <w:szCs w:val="20"/>
                <w:lang w:val="pl-PL"/>
              </w:rPr>
            </w:pPr>
            <w:r w:rsidRPr="008675CC">
              <w:rPr>
                <w:rFonts w:ascii="Arial" w:hAnsi="Arial" w:cs="Arial"/>
                <w:sz w:val="22"/>
                <w:szCs w:val="22"/>
                <w:u w:val="single"/>
                <w:lang w:val="pl-PL" w:eastAsia="ar-SA"/>
              </w:rPr>
              <w:t>mjasinsk@ford.com</w:t>
            </w:r>
          </w:p>
        </w:tc>
      </w:tr>
    </w:tbl>
    <w:p w14:paraId="7239CB2D" w14:textId="77777777" w:rsidR="004E2F83" w:rsidRDefault="004E2F83" w:rsidP="00C84963">
      <w:pPr>
        <w:jc w:val="both"/>
        <w:rPr>
          <w:rFonts w:ascii="Arial" w:hAnsi="Arial" w:cs="Arial"/>
          <w:i/>
          <w:sz w:val="22"/>
          <w:szCs w:val="22"/>
          <w:lang w:val="pl-PL"/>
        </w:rPr>
      </w:pPr>
    </w:p>
    <w:p w14:paraId="2E346B32" w14:textId="77777777" w:rsidR="004E2F83" w:rsidRDefault="004E2F83" w:rsidP="00C84963">
      <w:pPr>
        <w:jc w:val="both"/>
        <w:rPr>
          <w:rFonts w:ascii="Arial" w:hAnsi="Arial" w:cs="Arial"/>
          <w:i/>
          <w:sz w:val="22"/>
          <w:szCs w:val="22"/>
          <w:lang w:val="pl-PL"/>
        </w:rPr>
      </w:pPr>
    </w:p>
    <w:sectPr w:rsidR="004E2F83">
      <w:footerReference w:type="default" r:id="rId12"/>
      <w:headerReference w:type="first" r:id="rId13"/>
      <w:footerReference w:type="first" r:id="rId14"/>
      <w:pgSz w:w="12240" w:h="15840"/>
      <w:pgMar w:top="1440" w:right="1440" w:bottom="862" w:left="1440" w:header="720" w:footer="431"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6334" w14:textId="77777777" w:rsidR="00CC0A3C" w:rsidRDefault="00C84963">
      <w:r>
        <w:separator/>
      </w:r>
    </w:p>
  </w:endnote>
  <w:endnote w:type="continuationSeparator" w:id="0">
    <w:p w14:paraId="52A5FF1F" w14:textId="77777777" w:rsidR="00CC0A3C" w:rsidRDefault="00C8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4E2F83" w:rsidRPr="00244826" w14:paraId="1D043B1A" w14:textId="77777777">
      <w:tc>
        <w:tcPr>
          <w:tcW w:w="9468" w:type="dxa"/>
        </w:tcPr>
        <w:p w14:paraId="3B7975A5" w14:textId="77777777" w:rsidR="004E2F83" w:rsidRDefault="00C84963">
          <w:pPr>
            <w:pStyle w:val="Footer"/>
            <w:widowControl w:val="0"/>
            <w:jc w:val="center"/>
            <w:rPr>
              <w:rFonts w:ascii="Arial" w:hAnsi="Arial" w:cs="Arial"/>
              <w:lang w:val="pl-PL"/>
            </w:rPr>
          </w:pPr>
          <w:r>
            <w:rPr>
              <w:noProof/>
            </w:rPr>
            <mc:AlternateContent>
              <mc:Choice Requires="wps">
                <w:drawing>
                  <wp:anchor distT="0" distB="0" distL="0" distR="0" simplePos="0" relativeHeight="10" behindDoc="0" locked="0" layoutInCell="0" allowOverlap="1" wp14:anchorId="3C42A117" wp14:editId="632ACB5E">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58A26545" w14:textId="77777777" w:rsidR="004E2F83" w:rsidRDefault="00C84963">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3C42A117"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58A26545" w14:textId="77777777" w:rsidR="004E2F83" w:rsidRDefault="00C84963">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3DA30B1D" w14:textId="77777777" w:rsidR="004E2F83" w:rsidRDefault="004E2F83">
          <w:pPr>
            <w:pStyle w:val="Footer"/>
            <w:widowControl w:val="0"/>
            <w:jc w:val="center"/>
            <w:rPr>
              <w:rFonts w:ascii="Arial" w:hAnsi="Arial" w:cs="Arial"/>
              <w:lang w:val="pl-PL"/>
            </w:rPr>
          </w:pPr>
        </w:p>
        <w:p w14:paraId="32EE3F03" w14:textId="77777777" w:rsidR="004E2F83" w:rsidRDefault="00C84963">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66DDE">
            <w:fldChar w:fldCharType="begin"/>
          </w:r>
          <w:r w:rsidR="00D66DDE" w:rsidRPr="00244826">
            <w:rPr>
              <w:lang w:val="pl-PL"/>
            </w:rPr>
            <w:instrText xml:space="preserve"> HYPERLINK "http://www.fordmedia.eu/" \h </w:instrText>
          </w:r>
          <w:r w:rsidR="00D66DDE">
            <w:fldChar w:fldCharType="separate"/>
          </w:r>
          <w:r>
            <w:rPr>
              <w:rFonts w:ascii="Arial" w:eastAsia="Calibri" w:hAnsi="Arial" w:cs="Arial"/>
              <w:color w:val="0000FF"/>
              <w:sz w:val="18"/>
              <w:szCs w:val="18"/>
              <w:u w:val="single"/>
              <w:lang w:val="pl-PL"/>
            </w:rPr>
            <w:t>www.ford.media.eu</w:t>
          </w:r>
          <w:r w:rsidR="00D66DDE">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8F42A02" w14:textId="77777777" w:rsidR="004E2F83" w:rsidRDefault="00C84963">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2">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www.youtube.com/FordNewsEurope</w:t>
            </w:r>
          </w:hyperlink>
        </w:p>
        <w:p w14:paraId="49FC7959" w14:textId="77777777" w:rsidR="004E2F83" w:rsidRPr="00DD6723" w:rsidRDefault="004E2F83">
          <w:pPr>
            <w:pStyle w:val="Footer"/>
            <w:widowControl w:val="0"/>
            <w:jc w:val="center"/>
            <w:rPr>
              <w:lang w:val="pl-PL"/>
            </w:rPr>
          </w:pPr>
        </w:p>
      </w:tc>
      <w:tc>
        <w:tcPr>
          <w:tcW w:w="1787" w:type="dxa"/>
        </w:tcPr>
        <w:p w14:paraId="75C83773" w14:textId="77777777" w:rsidR="004E2F83" w:rsidRPr="00DD6723" w:rsidRDefault="004E2F83">
          <w:pPr>
            <w:pStyle w:val="Footer"/>
            <w:widowControl w:val="0"/>
            <w:rPr>
              <w:lang w:val="pl-PL"/>
            </w:rPr>
          </w:pPr>
        </w:p>
      </w:tc>
    </w:tr>
  </w:tbl>
  <w:p w14:paraId="465C25E4" w14:textId="77777777" w:rsidR="004E2F83" w:rsidRPr="00DD6723" w:rsidRDefault="004E2F83">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3DF9" w14:textId="77777777" w:rsidR="004E2F83" w:rsidRDefault="004E2F83">
    <w:pPr>
      <w:pStyle w:val="Footer"/>
      <w:jc w:val="center"/>
    </w:pPr>
  </w:p>
  <w:p w14:paraId="04912512" w14:textId="77777777" w:rsidR="004E2F83" w:rsidRDefault="004E2F83">
    <w:pPr>
      <w:pStyle w:val="Footer"/>
      <w:jc w:val="center"/>
    </w:pPr>
  </w:p>
  <w:p w14:paraId="4F47CC13" w14:textId="77777777" w:rsidR="004E2F83" w:rsidRDefault="00C84963">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66DDE">
      <w:fldChar w:fldCharType="begin"/>
    </w:r>
    <w:r w:rsidR="00D66DDE" w:rsidRPr="00244826">
      <w:rPr>
        <w:lang w:val="pl-PL"/>
      </w:rPr>
      <w:instrText xml:space="preserve"> HYPERLINK "http://www.fordmedia.eu/" \h </w:instrText>
    </w:r>
    <w:r w:rsidR="00D66DDE">
      <w:fldChar w:fldCharType="separate"/>
    </w:r>
    <w:r>
      <w:rPr>
        <w:rFonts w:ascii="Arial" w:eastAsia="Calibri" w:hAnsi="Arial" w:cs="Arial"/>
        <w:color w:val="0000FF"/>
        <w:sz w:val="18"/>
        <w:szCs w:val="18"/>
        <w:u w:val="single"/>
        <w:lang w:val="pl-PL"/>
      </w:rPr>
      <w:t>www.ford.media.eu</w:t>
    </w:r>
    <w:r w:rsidR="00D66DDE">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106CD903" w14:textId="77777777" w:rsidR="004E2F83" w:rsidRDefault="00C84963">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2">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1BBB" w14:textId="77777777" w:rsidR="00CC0A3C" w:rsidRDefault="00C84963">
      <w:r>
        <w:separator/>
      </w:r>
    </w:p>
  </w:footnote>
  <w:footnote w:type="continuationSeparator" w:id="0">
    <w:p w14:paraId="0B04E976" w14:textId="77777777" w:rsidR="00CC0A3C" w:rsidRDefault="00C8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56F" w14:textId="77777777" w:rsidR="004E2F83" w:rsidRDefault="00C84963">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7BC8B115" wp14:editId="5D3E6DF6">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3F0D4F9B" wp14:editId="7CB3D3F5">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377A3C64" w14:textId="77777777" w:rsidR="004E2F83" w:rsidRDefault="00C84963">
                          <w:pPr>
                            <w:pStyle w:val="Zawartoramki"/>
                            <w:jc w:val="center"/>
                            <w:rPr>
                              <w:rFonts w:ascii="Arial" w:hAnsi="Arial" w:cs="Arial"/>
                              <w:sz w:val="12"/>
                              <w:szCs w:val="12"/>
                              <w:lang w:val="pl-PL"/>
                            </w:rPr>
                          </w:pPr>
                          <w:r>
                            <w:rPr>
                              <w:noProof/>
                            </w:rPr>
                            <w:drawing>
                              <wp:inline distT="0" distB="0" distL="0" distR="0" wp14:anchorId="1812F9D2" wp14:editId="2B069F7E">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3F0D4F9B"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377A3C64" w14:textId="77777777" w:rsidR="004E2F83" w:rsidRDefault="00C84963">
                    <w:pPr>
                      <w:pStyle w:val="Zawartoramki"/>
                      <w:jc w:val="center"/>
                      <w:rPr>
                        <w:rFonts w:ascii="Arial" w:hAnsi="Arial" w:cs="Arial"/>
                        <w:sz w:val="12"/>
                        <w:szCs w:val="12"/>
                        <w:lang w:val="pl-PL"/>
                      </w:rPr>
                    </w:pPr>
                    <w:r>
                      <w:rPr>
                        <w:noProof/>
                      </w:rPr>
                      <w:drawing>
                        <wp:inline distT="0" distB="0" distL="0" distR="0" wp14:anchorId="1812F9D2" wp14:editId="2B069F7E">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19D7585D" wp14:editId="7565B316">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24030248" w14:textId="77777777" w:rsidR="004E2F83" w:rsidRDefault="00C84963">
                          <w:pPr>
                            <w:pStyle w:val="Zawartoramki"/>
                            <w:jc w:val="center"/>
                          </w:pPr>
                          <w:r>
                            <w:rPr>
                              <w:noProof/>
                            </w:rPr>
                            <w:drawing>
                              <wp:inline distT="0" distB="0" distL="0" distR="0" wp14:anchorId="38217313" wp14:editId="7648729F">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27B52E8" w14:textId="77777777" w:rsidR="004E2F83" w:rsidRDefault="00D66DDE">
                          <w:pPr>
                            <w:pStyle w:val="Zawartoramki"/>
                            <w:rPr>
                              <w:rFonts w:ascii="Arial" w:hAnsi="Arial" w:cs="Arial"/>
                              <w:sz w:val="12"/>
                              <w:szCs w:val="12"/>
                              <w:lang w:val="pl-PL"/>
                            </w:rPr>
                          </w:pPr>
                          <w:hyperlink r:id="rId5">
                            <w:r w:rsidR="00C84963">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19D7585D" id="Text Box 9" o:spid="_x0000_s1028" style="position:absolute;left:0;text-align:left;margin-left:405.75pt;margin-top:.35pt;width:92.6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24030248" w14:textId="77777777" w:rsidR="004E2F83" w:rsidRDefault="00C84963">
                    <w:pPr>
                      <w:pStyle w:val="Zawartoramki"/>
                      <w:jc w:val="center"/>
                    </w:pPr>
                    <w:r>
                      <w:rPr>
                        <w:noProof/>
                      </w:rPr>
                      <w:drawing>
                        <wp:inline distT="0" distB="0" distL="0" distR="0" wp14:anchorId="38217313" wp14:editId="7648729F">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27B52E8" w14:textId="77777777" w:rsidR="004E2F83" w:rsidRDefault="00D66DDE">
                    <w:pPr>
                      <w:pStyle w:val="Zawartoramki"/>
                      <w:rPr>
                        <w:rFonts w:ascii="Arial" w:hAnsi="Arial" w:cs="Arial"/>
                        <w:sz w:val="12"/>
                        <w:szCs w:val="12"/>
                        <w:lang w:val="pl-PL"/>
                      </w:rPr>
                    </w:pPr>
                    <w:hyperlink r:id="rId6">
                      <w:r w:rsidR="00C84963">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5" behindDoc="1" locked="0" layoutInCell="0" allowOverlap="1" wp14:anchorId="599441E3" wp14:editId="27B074B6">
          <wp:simplePos x="0" y="0"/>
          <wp:positionH relativeFrom="column">
            <wp:posOffset>85725</wp:posOffset>
          </wp:positionH>
          <wp:positionV relativeFrom="paragraph">
            <wp:posOffset>-85725</wp:posOffset>
          </wp:positionV>
          <wp:extent cx="959485" cy="7366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096"/>
    <w:multiLevelType w:val="multilevel"/>
    <w:tmpl w:val="DCCC1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2351E3"/>
    <w:multiLevelType w:val="multilevel"/>
    <w:tmpl w:val="56404A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5177BED"/>
    <w:multiLevelType w:val="multilevel"/>
    <w:tmpl w:val="316C7DE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8D16127"/>
    <w:multiLevelType w:val="multilevel"/>
    <w:tmpl w:val="BC5487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83"/>
    <w:rsid w:val="00244826"/>
    <w:rsid w:val="004E2F83"/>
    <w:rsid w:val="00C84963"/>
    <w:rsid w:val="00CC0A3C"/>
    <w:rsid w:val="00D66DDE"/>
    <w:rsid w:val="00DD672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1D84"/>
  <w15:docId w15:val="{A0C39540-925A-402D-9476-28C8EE3F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uiPriority w:val="99"/>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uiPriority w:val="99"/>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uiPriority w:val="99"/>
    <w:semiHidden/>
    <w:qFormat/>
    <w:rsid w:val="002F679B"/>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uiPriority w:val="99"/>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2" Type="http://schemas.openxmlformats.org/officeDocument/2006/relationships/hyperlink" Target="http://www.twitter.com/fordnewseurope"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2" Type="http://schemas.openxmlformats.org/officeDocument/2006/relationships/hyperlink" Target="http://www.twitter.com/fordnewseurope"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4.jpeg"/><Relationship Id="rId2" Type="http://schemas.openxmlformats.org/officeDocument/2006/relationships/hyperlink" Target="http://www.youtube.com/FordNewsEurope" TargetMode="External"/><Relationship Id="rId1" Type="http://schemas.openxmlformats.org/officeDocument/2006/relationships/image" Target="media/image2.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35A5DC56-4E45-45C6-B095-F51733F8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4818</Characters>
  <Application>Microsoft Office Word</Application>
  <DocSecurity>0</DocSecurity>
  <Lines>40</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dc:description/>
  <cp:lastModifiedBy>Krzyczkowska, Zuzanna (Z.)</cp:lastModifiedBy>
  <cp:revision>3</cp:revision>
  <dcterms:created xsi:type="dcterms:W3CDTF">2022-09-19T13:43:00Z</dcterms:created>
  <dcterms:modified xsi:type="dcterms:W3CDTF">2022-09-19T13:44:00Z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MediaServiceImageTags">
    <vt:lpwstr/>
  </property>
  <property fmtid="{D5CDD505-2E9C-101B-9397-08002B2CF9AE}" pid="4" name="_NewReviewCycle">
    <vt:lpwstr/>
  </property>
</Properties>
</file>