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9DDB0" w14:textId="5A5033C9" w:rsidR="00877746" w:rsidRDefault="00877746" w:rsidP="00877746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0" w:name="_Hlk51939606"/>
      <w:bookmarkStart w:id="1" w:name="_Hlk21420256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Ford i </w:t>
      </w:r>
      <w:proofErr w:type="spellStart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Newlab</w:t>
      </w:r>
      <w:proofErr w:type="spellEnd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ogłaszają uruchomienie pilotażowego programu startupów w zakresie poszukiwania i wdrażania </w:t>
      </w:r>
      <w:r w:rsidR="00A038BF">
        <w:rPr>
          <w:rFonts w:ascii="Arial" w:eastAsiaTheme="majorEastAsia" w:hAnsi="Arial" w:cs="Arial"/>
          <w:b/>
          <w:sz w:val="32"/>
          <w:szCs w:val="32"/>
          <w:lang w:val="pl-PL" w:eastAsia="en-US"/>
        </w:rPr>
        <w:t>innowacyjnych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technologii dla pojazdów elektrycznych</w:t>
      </w:r>
    </w:p>
    <w:p w14:paraId="669A8ACB" w14:textId="77777777" w:rsidR="00877746" w:rsidRDefault="00877746" w:rsidP="00877746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2" w:name="_GoBack"/>
      <w:bookmarkEnd w:id="2"/>
    </w:p>
    <w:p w14:paraId="51CB7020" w14:textId="77777777" w:rsidR="00877746" w:rsidRDefault="00877746" w:rsidP="00877746">
      <w:pPr>
        <w:numPr>
          <w:ilvl w:val="0"/>
          <w:numId w:val="28"/>
        </w:numPr>
        <w:suppressAutoHyphens w:val="0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Współpraca Forda 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Newlab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ma przyspieszyć elektryfikację transportu i ułatwić wszystkim dostęp do zeletryfikowanej mobilności.</w:t>
      </w:r>
    </w:p>
    <w:p w14:paraId="0499686D" w14:textId="77777777" w:rsidR="00877746" w:rsidRDefault="00877746" w:rsidP="00877746">
      <w:pPr>
        <w:ind w:left="360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0C47C730" w14:textId="77777777" w:rsidR="00877746" w:rsidRDefault="00877746" w:rsidP="00877746">
      <w:pPr>
        <w:numPr>
          <w:ilvl w:val="0"/>
          <w:numId w:val="28"/>
        </w:numPr>
        <w:suppressAutoHyphens w:val="0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Mobility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Studio pomoże firmom pilotować rozwój szeregu usług i technologii transformacyjnych, aby przyspieszyć bardziej powszechne, komercyjne wykorzystywanie pojazdów elektrycznych.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br/>
      </w:r>
    </w:p>
    <w:p w14:paraId="38B128A5" w14:textId="77777777" w:rsidR="00877746" w:rsidRDefault="00877746" w:rsidP="00877746">
      <w:pPr>
        <w:numPr>
          <w:ilvl w:val="0"/>
          <w:numId w:val="28"/>
        </w:numPr>
        <w:suppressAutoHyphens w:val="0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Ford 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Newlab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wspólnie opierają się na najważniejszym celu, jakim jest zmniejszenie emisji dwutlenku węgla i skutków zmian klimatu poprzez przyspieszenie elektryfikacji flot komercyjnych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br/>
      </w:r>
    </w:p>
    <w:p w14:paraId="7F712239" w14:textId="77777777" w:rsidR="00877746" w:rsidRDefault="00877746" w:rsidP="00877746">
      <w:pPr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323ACE35" w14:textId="37FB5E2C" w:rsidR="00877746" w:rsidRDefault="00877746" w:rsidP="00877746">
      <w:pP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WARSZAWA, xx listopada 2021 roku –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Ford Motor Company i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Newla</w:t>
      </w:r>
      <w:r w:rsidR="000B3276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b</w:t>
      </w:r>
      <w:proofErr w:type="spellEnd"/>
      <w:r w:rsidR="000B3276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(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społeczność ekspertów i innowatorów </w:t>
      </w:r>
      <w:r w:rsidR="000B3276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skupionych na 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rozwiąz</w:t>
      </w:r>
      <w:r w:rsidR="000B3276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ywaniu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największ</w:t>
      </w:r>
      <w:r w:rsidR="000B3276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ych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światow</w:t>
      </w:r>
      <w:r w:rsidR="000B3276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ych wyzwań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poprzez zastosowanie transformacji technologicznych</w:t>
      </w:r>
      <w:r w:rsidR="000B3276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)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, ogłosiły powstanie pięciu startupów. Wezmą one udział w pilotażowym </w:t>
      </w:r>
      <w:r w:rsidR="000B3276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projekcie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Mobility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Studio - now</w:t>
      </w:r>
      <w:r w:rsidR="000B3276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ym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program</w:t>
      </w:r>
      <w:r w:rsidR="000B3276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ie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koncentrując</w:t>
      </w:r>
      <w:r w:rsidR="000B3276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ym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się na wspieraniu rozwoju technologii, współpracy produktowej i modeli biznesowych, które napędzać będą rozwój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bezemisyjnego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transportu przyszłości. Program realizowany jest w Michigan Central, stworzonej przez Forda zupełnie nowej dzielnicy, skupiającej firmy i specjalistów opracowujących innowacyjne rozwiązania w zakresie mobilności. Jest to drugie studi</w:t>
      </w:r>
      <w:r w:rsidR="000B3276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o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otwieran</w:t>
      </w:r>
      <w:r w:rsidR="000B3276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e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w ramach partnerstwa ogłoszonego w 2020 roku między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Newlab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i Michigan Central.</w:t>
      </w:r>
    </w:p>
    <w:p w14:paraId="15059781" w14:textId="77777777" w:rsidR="00877746" w:rsidRDefault="00877746" w:rsidP="00877746">
      <w:pP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</w:p>
    <w:p w14:paraId="1291F7F3" w14:textId="2ABFD55B" w:rsidR="00877746" w:rsidRDefault="00877746" w:rsidP="00877746">
      <w:pP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Ponieważ Stany Zjednoczone chcą inwestować w infrastrukturę i budować bardziej zrównoważoną, energooszczędną gospodarkę, elektryfikacja transportu ma tu kluczowe znaczenie. W pierwszym roku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Mobility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Studio pomoże firmom pilotować rozwój szeregu usług i technologii transformacyjnych, aby pobudzić bardziej powszechne komercyjne w</w:t>
      </w:r>
      <w:r w:rsidR="00F74B29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ykorzystanie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pojazdów elektrycznych. Łącząc doświadczenie Forda w rozwijaniu zaawansowanych rozwiązań mobilnych, w tym skupieni</w:t>
      </w:r>
      <w:r w:rsidR="00F74B29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e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się marki na wprowadzani</w:t>
      </w:r>
      <w:r w:rsidR="00F74B29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u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na rynek pojazdów elektrycznych na szeroką skalę, z opartym </w:t>
      </w:r>
      <w:r w:rsidR="00F74B29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o innowacyjność i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współprac</w:t>
      </w:r>
      <w:r w:rsidR="00F74B29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ę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modelem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Newlab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Mobility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Studio stworzy ekosystem przedsiębiorców, ekspertów i inwestorów, aby przetestować nowe technologie w specjalnie wyodrębnionym środowisku, tzw. "</w:t>
      </w:r>
      <w:proofErr w:type="spellStart"/>
      <w:r w:rsidR="00F74B29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sandbox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"</w:t>
      </w:r>
      <w:r w:rsidR="00F74B29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i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</w:t>
      </w:r>
      <w:r w:rsidR="00F74B29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wesprzeć 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elektryfikacj</w:t>
      </w:r>
      <w:r w:rsidR="00F74B29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ę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flot komercyjnych w USA.</w:t>
      </w:r>
    </w:p>
    <w:p w14:paraId="04E1CEB7" w14:textId="77777777" w:rsidR="00877746" w:rsidRDefault="00877746" w:rsidP="00877746">
      <w:pP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</w:p>
    <w:p w14:paraId="2C465638" w14:textId="0D1B1391" w:rsidR="00877746" w:rsidRDefault="00877746" w:rsidP="00877746">
      <w:pP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- Ford i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Newlab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wspólnie </w:t>
      </w:r>
      <w:r w:rsidR="00F74B29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bazują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na celu naszego kraju, jakim jest zmniejszenie emisji dwutlenku węgla i skutków zmian klimatu poprzez przyspieszenie elektryfikacji floty komercyjnej - powiedział Matt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Stover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, dyrektor ds. technologii ładowania i usług energetycznych w Ford Motor Company. </w:t>
      </w:r>
      <w:r w:rsidR="001174D3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- 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Gdy Ford pracuje nad przyspieszeniem szerokiego wprowadzenia na rynek aut elektrycznych i zero-emisyjnego transportu,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Mobility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Studio doskonale włącza się w tę współpracę poprzez ziden</w:t>
      </w:r>
      <w:r w:rsidR="001174D3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ty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fikowanie innowacyjnych rozwiązań zarządzania flotami 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lastRenderedPageBreak/>
        <w:t xml:space="preserve">samochodowymi z wykorzystaniem </w:t>
      </w:r>
      <w:r w:rsidR="001174D3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skomunikowanych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systemów danych, zintegrowanie pojazdów Forda w energetyczny e</w:t>
      </w:r>
      <w:r w:rsidR="001174D3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k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osystem, wypracowanie zaawansowanych miejskich systemów ładowania flot aut elektrycznych, czy nawet wsparcie kierowców pojazdów elektrycznych w ich domach.</w:t>
      </w:r>
      <w:r w:rsidR="001174D3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Cieszymy się, że my i nasz zespół Ford Pro, możemy być włączeni w </w:t>
      </w:r>
      <w:r w:rsidR="001174D3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badania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nad tymi technologiami i projektami za pośrednictwem Michigan Central - to jest początek wspólnych prac w poszukiwaniu nowych rozwiązań i postępu jako takiego, nie tylko dla nas, ale także dla innych osób i firm pracujących nad tego typu wyzwaniami w całym kraju – dodał.</w:t>
      </w:r>
    </w:p>
    <w:p w14:paraId="21666E66" w14:textId="77777777" w:rsidR="00877746" w:rsidRDefault="00877746" w:rsidP="00877746">
      <w:pP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</w:p>
    <w:p w14:paraId="71A6008A" w14:textId="5C9BC17F" w:rsidR="00877746" w:rsidRDefault="00877746" w:rsidP="00877746">
      <w:pP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Newlab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i Ford wybrały następujące firmy z konkurencyjnej puli globalnych kandydatów, aby wziąć udział w pierwsz</w:t>
      </w:r>
      <w:r w:rsidR="001174D3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ej turze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Mobility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Studio i sprostać głównym wyzwaniom flot samochodowych - jak np. proces przejścia z aut spalinowych na pojazdy elektryczne, zarządzanie </w:t>
      </w:r>
      <w:r w:rsidR="001174D3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flotami skomunikowanych aut,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wspieranie kierowców w domu, wielofunkcyjne </w:t>
      </w:r>
      <w:r w:rsidR="00D9334C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stacje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ładowania </w:t>
      </w:r>
      <w:r w:rsidR="00D9334C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oraz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aplikacje typu "</w:t>
      </w:r>
      <w:r>
        <w:rPr>
          <w:rFonts w:ascii="Arial" w:hAnsi="Arial" w:cs="Arial"/>
          <w:color w:val="333333"/>
          <w:sz w:val="21"/>
          <w:szCs w:val="21"/>
          <w:shd w:val="clear" w:color="000000" w:fill="FFFFFF"/>
        </w:rPr>
        <w:t>vehicle-to-everything</w:t>
      </w:r>
      <w:r>
        <w:rPr>
          <w:rFonts w:ascii="Arial" w:hAnsi="Arial" w:cs="Arial"/>
          <w:color w:val="333333"/>
          <w:sz w:val="21"/>
          <w:szCs w:val="21"/>
          <w:shd w:val="clear" w:color="000000" w:fill="FFFFFF"/>
          <w:lang w:val="pl-PL"/>
        </w:rPr>
        <w:t>"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:</w:t>
      </w:r>
    </w:p>
    <w:p w14:paraId="086FA4E6" w14:textId="77777777" w:rsidR="00877746" w:rsidRDefault="00877746" w:rsidP="00877746">
      <w:pP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</w:p>
    <w:p w14:paraId="3E15BB49" w14:textId="56AFE277" w:rsidR="00877746" w:rsidRDefault="00877746" w:rsidP="00877746">
      <w:pPr>
        <w:pStyle w:val="Akapitzlist"/>
        <w:numPr>
          <w:ilvl w:val="0"/>
          <w:numId w:val="29"/>
        </w:numPr>
        <w:suppressAutoHyphens w:val="0"/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  <w:proofErr w:type="spellStart"/>
      <w:r>
        <w:rPr>
          <w:rFonts w:ascii="Arial" w:hAnsi="Arial" w:cs="Arial"/>
          <w:b/>
          <w:color w:val="333333"/>
          <w:sz w:val="22"/>
          <w:szCs w:val="22"/>
          <w:shd w:val="clear" w:color="000000" w:fill="FFFFFF"/>
          <w:lang w:val="pl-PL"/>
        </w:rPr>
        <w:t>Autofleet</w:t>
      </w:r>
      <w:proofErr w:type="spellEnd"/>
      <w:r>
        <w:rPr>
          <w:rFonts w:ascii="Arial" w:hAnsi="Arial" w:cs="Arial"/>
          <w:b/>
          <w:color w:val="333333"/>
          <w:sz w:val="22"/>
          <w:szCs w:val="22"/>
          <w:shd w:val="clear" w:color="000000" w:fill="FFFFFF"/>
          <w:lang w:val="pl-PL"/>
        </w:rPr>
        <w:t>: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Autofleet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to platforma typu „pojazd jako usługa”, umożliwiająca firmom, organizacjom i gminom optymalizację zarządzania flotą pojazdów, uruchamianie nowych usług mobilności z istniejącymi pojazdami oraz planowanie i projektowanie strategicznych zmian w </w:t>
      </w:r>
      <w:r w:rsidR="00D9334C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działaniu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, takich jak elektryfikacja. Platforma centralnie optymalizuje operacje floty, przełamując uzależnienie funkcjonowania systemu od podejmowanych przez kierowcę decyzji i została zaprojektowana tak, by dziś już zarządzać tradycyjną flotą, a w przyszłości płynnie przenieść ten system do prowadzenia obsługi flot samoch</w:t>
      </w:r>
      <w:r w:rsidR="00D9334C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o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dów autonomicznych.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Autofleet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współpracuje z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Avis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-Budget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Group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Zipcar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Revel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i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Keolis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- łącznie zarządza dziesiątkami tysięcy pojazdów w ponad 12 krajach.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br/>
      </w:r>
    </w:p>
    <w:p w14:paraId="62BEAE0B" w14:textId="75259977" w:rsidR="00877746" w:rsidRDefault="00877746" w:rsidP="00877746">
      <w:pPr>
        <w:pStyle w:val="Akapitzlist"/>
        <w:numPr>
          <w:ilvl w:val="0"/>
          <w:numId w:val="29"/>
        </w:numPr>
        <w:suppressAutoHyphens w:val="0"/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  <w:proofErr w:type="spellStart"/>
      <w:r>
        <w:rPr>
          <w:rFonts w:ascii="Arial" w:hAnsi="Arial" w:cs="Arial"/>
          <w:b/>
          <w:color w:val="333333"/>
          <w:sz w:val="22"/>
          <w:szCs w:val="22"/>
          <w:shd w:val="clear" w:color="000000" w:fill="FFFFFF"/>
          <w:lang w:val="pl-PL"/>
        </w:rPr>
        <w:t>EVPassport</w:t>
      </w:r>
      <w:proofErr w:type="spellEnd"/>
      <w:r>
        <w:rPr>
          <w:rFonts w:ascii="Arial" w:hAnsi="Arial" w:cs="Arial"/>
          <w:b/>
          <w:color w:val="333333"/>
          <w:sz w:val="22"/>
          <w:szCs w:val="22"/>
          <w:shd w:val="clear" w:color="000000" w:fill="FFFFFF"/>
          <w:lang w:val="pl-PL"/>
        </w:rPr>
        <w:t>: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EVPassport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, to wiodąca firma zajmująca się ładowaniem pojazdów elektrycznych, która opracowuje rozproszony ekosystem ładowania floty, integrujący wielostanowiskowe punkty ładowania za pośrednictwem</w:t>
      </w:r>
      <w:r w:rsidR="00D9334C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-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opartej na chmurze i programowanej/sterowanej przez interfejs </w:t>
      </w:r>
      <w:r w:rsidR="00D9334C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- 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aplikacji dla platformy sprzętowej i programowej. Właściciele flot mogą teraz płacić za sesje ładowania </w:t>
      </w:r>
      <w:r w:rsidR="00D9334C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na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wielo</w:t>
      </w:r>
      <w:r w:rsidR="00D9334C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stanowiskowych stacjach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, dostarczając swoim kierowcom cyfrową platformę, pozwalającą bezproblemowo opłacać ładowanie dowolnego pojazdu elektrycznego bez konieczności posiadania oddzielnej aplikacji, konta lub specjalnego salda doładowania.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br/>
      </w:r>
    </w:p>
    <w:p w14:paraId="4827C39F" w14:textId="4CD2C7B3" w:rsidR="00877746" w:rsidRDefault="00877746" w:rsidP="00877746">
      <w:pPr>
        <w:pStyle w:val="Akapitzlist"/>
        <w:numPr>
          <w:ilvl w:val="0"/>
          <w:numId w:val="29"/>
        </w:numPr>
        <w:suppressAutoHyphens w:val="0"/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  <w:r>
        <w:rPr>
          <w:rFonts w:ascii="Arial" w:hAnsi="Arial" w:cs="Arial"/>
          <w:b/>
          <w:color w:val="333333"/>
          <w:sz w:val="22"/>
          <w:szCs w:val="22"/>
          <w:shd w:val="clear" w:color="000000" w:fill="FFFFFF"/>
          <w:lang w:val="pl-PL"/>
        </w:rPr>
        <w:t>Fermata Energy: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Fermata zapewnia kompletne rozwiązanie, które pozwala pojazdom elektrycznym otrzymywać energię z sieci oraz dostarczać energię z powrotem do sieci i budynków poprzez integrację </w:t>
      </w:r>
      <w:r w:rsidR="00D9334C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wiedzy, 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oprogramowania</w:t>
      </w:r>
      <w:r w:rsidR="00D9334C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i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rozwiązań sprzętowych. To rozwiązanie przekształca pojazdy elektryczne w zasobniki energii, które wspomagają walkę ze zmianami klimatycznymi, zwiększając odporność na spadki energii w sieci i znacznie obniżając koszty samego posiadania i </w:t>
      </w:r>
      <w:r w:rsidR="003F33F9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użytkowania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pojazdów EV.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br/>
      </w:r>
    </w:p>
    <w:p w14:paraId="38888C9E" w14:textId="144C38D9" w:rsidR="00877746" w:rsidRDefault="00877746" w:rsidP="00877746">
      <w:pPr>
        <w:pStyle w:val="Akapitzlist"/>
        <w:numPr>
          <w:ilvl w:val="0"/>
          <w:numId w:val="29"/>
        </w:numPr>
        <w:suppressAutoHyphens w:val="0"/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  <w:proofErr w:type="spellStart"/>
      <w:r>
        <w:rPr>
          <w:rFonts w:ascii="Arial" w:hAnsi="Arial" w:cs="Arial"/>
          <w:b/>
          <w:color w:val="333333"/>
          <w:sz w:val="22"/>
          <w:szCs w:val="22"/>
          <w:shd w:val="clear" w:color="000000" w:fill="FFFFFF"/>
          <w:lang w:val="pl-PL"/>
        </w:rPr>
        <w:t>Rhombus</w:t>
      </w:r>
      <w:proofErr w:type="spellEnd"/>
      <w:r>
        <w:rPr>
          <w:rFonts w:ascii="Arial" w:hAnsi="Arial" w:cs="Arial"/>
          <w:b/>
          <w:color w:val="333333"/>
          <w:sz w:val="22"/>
          <w:szCs w:val="22"/>
          <w:shd w:val="clear" w:color="000000" w:fill="FFFFFF"/>
          <w:lang w:val="pl-PL"/>
        </w:rPr>
        <w:t xml:space="preserve"> Energy Solutions: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Rhombus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z siedzibą w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Dearborn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w stanie Michigan opracowuje nową infrastrukturę sieci elektrycznej, systemy dystrybucji i zarządzania energią, a także zaawansowane rozwiązania do ładowania w celu przyspieszenia szerokiego w</w:t>
      </w:r>
      <w:r w:rsidR="009B3094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ykorzystania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pojazdów elektrycznych.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Rhombus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buduje dwukierunkowe sieci ładowania elektrycznych samochodów osobowych i flot pojazdów elektrycznych o dużej mocy – takich jak autobusy, śmieciarki i auta dostawcze – wraz z oprogramowaniem do zarządzania energią, konwersją energii, systemami 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lastRenderedPageBreak/>
        <w:t xml:space="preserve">magazynowania i aplikacjami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mikrosieci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, aby zmaksymalizować efektywność dystrybucji czystej energii przez pojazdy elektryczne.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br/>
      </w:r>
    </w:p>
    <w:p w14:paraId="69876BC7" w14:textId="62708B9E" w:rsidR="00877746" w:rsidRDefault="00877746" w:rsidP="00877746">
      <w:pPr>
        <w:pStyle w:val="Akapitzlist"/>
        <w:numPr>
          <w:ilvl w:val="0"/>
          <w:numId w:val="29"/>
        </w:numPr>
        <w:suppressAutoHyphens w:val="0"/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  <w:proofErr w:type="spellStart"/>
      <w:r>
        <w:rPr>
          <w:rFonts w:ascii="Arial" w:hAnsi="Arial" w:cs="Arial"/>
          <w:b/>
          <w:color w:val="333333"/>
          <w:sz w:val="22"/>
          <w:szCs w:val="22"/>
          <w:shd w:val="clear" w:color="000000" w:fill="FFFFFF"/>
          <w:lang w:val="pl-PL"/>
        </w:rPr>
        <w:t>SparkCharge</w:t>
      </w:r>
      <w:proofErr w:type="spellEnd"/>
      <w:r>
        <w:rPr>
          <w:rFonts w:ascii="Arial" w:hAnsi="Arial" w:cs="Arial"/>
          <w:b/>
          <w:color w:val="333333"/>
          <w:sz w:val="22"/>
          <w:szCs w:val="22"/>
          <w:shd w:val="clear" w:color="000000" w:fill="FFFFFF"/>
          <w:lang w:val="pl-PL"/>
        </w:rPr>
        <w:t>: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</w:t>
      </w:r>
      <w:r w:rsidR="009B3094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„</w:t>
      </w:r>
      <w:proofErr w:type="spellStart"/>
      <w:r w:rsidR="009B3094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Currently</w:t>
      </w:r>
      <w:proofErr w:type="spellEnd"/>
      <w:r w:rsidR="009B3094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” - m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obilna sieć ładowania pojazdów elektrycznych na żądanie, powstała by ułatwić proces ładowania aut oraz wypełnić luki w infrastrukturze. Za pośrednictwem aplikacji mobilnej </w:t>
      </w:r>
      <w:r w:rsidR="009B3094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(„</w:t>
      </w:r>
      <w:proofErr w:type="spellStart"/>
      <w:r w:rsidR="009B3094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Currently</w:t>
      </w:r>
      <w:proofErr w:type="spellEnd"/>
      <w:r w:rsidR="009B3094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”) 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abonenci mogą zamówić dostarczenie „ładunku” energii do swojego pojazdu we wskazanym miejscu, </w:t>
      </w:r>
      <w:r w:rsidR="009B3094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z 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wykorzyst</w:t>
      </w:r>
      <w:r w:rsidR="009B3094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aniem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przenośn</w:t>
      </w:r>
      <w:r w:rsidR="009B3094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ej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, modułow</w:t>
      </w:r>
      <w:r w:rsidR="009B3094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ej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ładowark</w:t>
      </w:r>
      <w:r w:rsidR="009B3094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i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SparkCharge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- The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Roadie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. Obecnie usługa działa w Dallas, Los Angeles i San Francisco, a wkrótce planowana jest ekspansja na kilka kolejnych miast.</w:t>
      </w:r>
    </w:p>
    <w:p w14:paraId="0B3E9E18" w14:textId="77777777" w:rsidR="00877746" w:rsidRDefault="00877746" w:rsidP="00877746">
      <w:pP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</w:p>
    <w:p w14:paraId="7C43A84D" w14:textId="0FE52E5E" w:rsidR="00877746" w:rsidRDefault="00877746" w:rsidP="00877746">
      <w:pP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- Cieszymy się, że możemy powitać pierwsz</w:t>
      </w:r>
      <w:r w:rsidR="00591693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ych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członk</w:t>
      </w:r>
      <w:r w:rsidR="00591693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ów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Mobility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Studio - niesamowitą grupę innowacyjnych firm, zdeterminowanych, aby stworzyć czystą, zelektryfikowaną i zintegrowaną przyszłość - powiedziała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Shaina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Horowitz, wiceprezes ds. produktów i programów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Newlab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. - Z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bezemisyjnym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transportem i elektryfikacją </w:t>
      </w:r>
      <w:r w:rsidR="00E44DBE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jako punktem zwrotnym dla całego kraju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Mobility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Studio poszukiwało innowacyjnych zespołów, które przyspieszą upowszechnienie pojazdów elektrycznych i pomogą zmniejszyć emisję gazów cieplarnianych, poprzez rozwój najnowocześniejszych rozwiązań w zakresie mobilności – dodała.</w:t>
      </w:r>
    </w:p>
    <w:p w14:paraId="4A9C8AE8" w14:textId="77777777" w:rsidR="00877746" w:rsidRDefault="00877746" w:rsidP="00877746">
      <w:pP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</w:p>
    <w:p w14:paraId="7289C6B6" w14:textId="77777777" w:rsidR="00877746" w:rsidRDefault="00877746" w:rsidP="00877746">
      <w:pP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- Nasza wizja Michigan Central to kwitnąca dzielnica innowacji, która łączy różnorodne talenty potrzebne do rozwiązywania złożonych wyzwań związanych z mobilnością, szczególnie w kluczowych obszarach, takich jak technologie pojazdów elektrycznych i modele biznesowe - powiedział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Roshni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Shokar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, odpowiedzialny za startupy i zaangażowanie przedsiębiorców w Michigan Central. - Obejmuje to startupy, badaczy i technologów, którzy dołączają do społeczności Michigan Central za pośrednictwem dwóch uruchomionych studiów we współpracy z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Newlab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w celu zbadania, opracowania i przetestowania nowych rozwiązań, które pomogą wypracować sprawiedliwy dostęp do nowych technologii dla wszystkich ludzi – dodał.</w:t>
      </w:r>
    </w:p>
    <w:p w14:paraId="2A992B8E" w14:textId="77777777" w:rsidR="00877746" w:rsidRDefault="00877746" w:rsidP="00877746">
      <w:pP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</w:p>
    <w:p w14:paraId="5128AEBE" w14:textId="5E4A03B8" w:rsidR="00877746" w:rsidRDefault="00877746" w:rsidP="00877746">
      <w:pP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Zeszłej wiosny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Mobility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Studio ogłosiło otwarty nabór dla firm opracowujących pionierskie technologie i nowatorskie produkty, które planowały ubiegać się o udział w pierwszej grupie zespołów. W nadchodzących miesiącach firmy członkowskie będą ściśle współpracować z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Newlab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, Fordem i interesariuszami z branży w celu wdrożenia technologii i usług, które pomogą uczynić floty pojazdów elektrycznych ekonomicznie i logistycznie opłacalnymi – podkreślając rosnący konsensus, że budowanie czystej, stabilnej przyszłości energetycznej </w:t>
      </w:r>
      <w:r w:rsidR="00E44DBE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wymaga 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przyspiesz</w:t>
      </w:r>
      <w:r w:rsidR="00E44DBE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enia 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elektryfikacj</w:t>
      </w:r>
      <w:r w:rsidR="00E44DBE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i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transportu. Podczas gdy studio mieści się w Michigan Central, startupy </w:t>
      </w:r>
      <w:r w:rsidR="00E44DBE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z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pierwszej </w:t>
      </w:r>
      <w:r w:rsidR="00E44DBE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grupy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będą testować projekty w różnych lokalizacjach w całym kraju.</w:t>
      </w:r>
    </w:p>
    <w:p w14:paraId="20C485CB" w14:textId="77777777" w:rsidR="00877746" w:rsidRDefault="00877746" w:rsidP="00877746">
      <w:pP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</w:p>
    <w:p w14:paraId="2E4D7D43" w14:textId="75DF467B" w:rsidR="00877746" w:rsidRDefault="00877746" w:rsidP="00877746">
      <w:pP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</w:pP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Michigan Central, nowa dzielnica mobilności w </w:t>
      </w:r>
      <w:proofErr w:type="spellStart"/>
      <w:r w:rsidR="003F33F9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Corktown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oraz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Newlab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, </w:t>
      </w:r>
      <w:r w:rsidR="003F33F9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gromadzące 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ponad 800 inżynierów, przedsiębiorców i wynalazców stosujących technologie transformacyjne, pracują </w:t>
      </w:r>
      <w:r w:rsidR="003F33F9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wspólnie 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nad wspieraniem </w:t>
      </w:r>
      <w:r w:rsidR="00E44DBE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innowacyjnego 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ekosystemu zaangażowanego w kształtowanie przyszłości transportu w sposób, który przynosi korzyści wszystkim. Ford w swojej wizji chce stworzyć otwartą platformę współpracy i wymiany doświadczeń przyciągając najlepsze umysły z całego miasta </w:t>
      </w:r>
      <w:r w:rsidR="003F33F9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i świata 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- by, poprzez rozwój Michigan Central pośrednio pobudzić także rozwój najstarszej dzielnicy przemysłowej </w:t>
      </w:r>
      <w:r w:rsidR="003F33F9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w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 Detroit. Prace rozwojowe nad nowymi technologiami mają ostatecznie doprowadzić do testowania rozwiązań mobilnych na ulicach w </w:t>
      </w:r>
      <w:r w:rsidR="003F33F9"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 xml:space="preserve">realnym </w:t>
      </w:r>
      <w:r>
        <w:rPr>
          <w:rFonts w:ascii="Arial" w:hAnsi="Arial" w:cs="Arial"/>
          <w:color w:val="333333"/>
          <w:sz w:val="22"/>
          <w:szCs w:val="22"/>
          <w:shd w:val="clear" w:color="000000" w:fill="FFFFFF"/>
          <w:lang w:val="pl-PL"/>
        </w:rPr>
        <w:t>świecie, w rzeczywistych sytuacjach.</w:t>
      </w:r>
    </w:p>
    <w:p w14:paraId="4ED8410B" w14:textId="77777777" w:rsidR="00274226" w:rsidRPr="00190FAE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5C0F90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34A62" w14:textId="77777777" w:rsidR="00B115AC" w:rsidRDefault="00B115AC">
      <w:r>
        <w:separator/>
      </w:r>
    </w:p>
  </w:endnote>
  <w:endnote w:type="continuationSeparator" w:id="0">
    <w:p w14:paraId="74B2224E" w14:textId="77777777" w:rsidR="00B115AC" w:rsidRDefault="00B1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Arial"/>
    <w:charset w:val="00"/>
    <w:family w:val="roman"/>
    <w:pitch w:val="default"/>
  </w:font>
  <w:font w:name="HelveticaNeueLTPro-BdEx">
    <w:altName w:val="Arial"/>
    <w:charset w:val="4D"/>
    <w:family w:val="auto"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D12F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D12F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5C0F90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8FEEC" w14:textId="77777777" w:rsidR="00B115AC" w:rsidRDefault="00B115AC">
      <w:r>
        <w:separator/>
      </w:r>
    </w:p>
  </w:footnote>
  <w:footnote w:type="continuationSeparator" w:id="0">
    <w:p w14:paraId="4FF7E8DF" w14:textId="77777777" w:rsidR="00B115AC" w:rsidRDefault="00B11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69C5" w14:textId="005C82B0" w:rsidR="00354862" w:rsidRDefault="00354862" w:rsidP="00354862">
    <w:pPr>
      <w:pStyle w:val="Nagwek"/>
      <w:tabs>
        <w:tab w:val="left" w:pos="1483"/>
      </w:tabs>
      <w:ind w:left="36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Stopka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03"/>
    <w:multiLevelType w:val="hybridMultilevel"/>
    <w:tmpl w:val="BE72A448"/>
    <w:lvl w:ilvl="0" w:tplc="2778A58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BD78502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4E5C9CD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B2363750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 w:tplc="7C5408C4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 w:tplc="9F90BFE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 w:tplc="22E4F050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 w:tplc="AB30CAF0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 w:tplc="D24E919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13" w15:restartNumberingAfterBreak="0">
    <w:nsid w:val="2F000004"/>
    <w:multiLevelType w:val="hybridMultilevel"/>
    <w:tmpl w:val="1F002570"/>
    <w:lvl w:ilvl="0" w:tplc="7A42B3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9608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E721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3BD8291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51DCE6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D05F02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5B58C35A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E850DC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273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0000C"/>
    <w:multiLevelType w:val="hybridMultilevel"/>
    <w:tmpl w:val="1F002D78"/>
    <w:lvl w:ilvl="0" w:tplc="016838EA">
      <w:start w:val="1"/>
      <w:numFmt w:val="bullet"/>
      <w:lvlText w:val="·"/>
      <w:lvlJc w:val="left"/>
      <w:pPr>
        <w:ind w:left="340" w:hanging="340"/>
      </w:pPr>
      <w:rPr>
        <w:rFonts w:ascii="Symbol" w:hAnsi="Symbol" w:hint="default"/>
      </w:rPr>
    </w:lvl>
    <w:lvl w:ilvl="1" w:tplc="F326A0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6759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AF689EF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8622C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8496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63B6B5E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2262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AD41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2"/>
  </w:num>
  <w:num w:numId="5">
    <w:abstractNumId w:val="25"/>
  </w:num>
  <w:num w:numId="6">
    <w:abstractNumId w:val="10"/>
  </w:num>
  <w:num w:numId="7">
    <w:abstractNumId w:val="19"/>
  </w:num>
  <w:num w:numId="8">
    <w:abstractNumId w:val="17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20"/>
  </w:num>
  <w:num w:numId="14">
    <w:abstractNumId w:val="5"/>
  </w:num>
  <w:num w:numId="15">
    <w:abstractNumId w:val="21"/>
  </w:num>
  <w:num w:numId="16">
    <w:abstractNumId w:val="8"/>
  </w:num>
  <w:num w:numId="17">
    <w:abstractNumId w:val="24"/>
  </w:num>
  <w:num w:numId="18">
    <w:abstractNumId w:val="26"/>
  </w:num>
  <w:num w:numId="19">
    <w:abstractNumId w:val="0"/>
  </w:num>
  <w:num w:numId="20">
    <w:abstractNumId w:val="28"/>
  </w:num>
  <w:num w:numId="21">
    <w:abstractNumId w:val="16"/>
  </w:num>
  <w:num w:numId="22">
    <w:abstractNumId w:val="9"/>
  </w:num>
  <w:num w:numId="23">
    <w:abstractNumId w:val="23"/>
  </w:num>
  <w:num w:numId="24">
    <w:abstractNumId w:val="27"/>
  </w:num>
  <w:num w:numId="25">
    <w:abstractNumId w:val="11"/>
  </w:num>
  <w:num w:numId="26">
    <w:abstractNumId w:val="15"/>
  </w:num>
  <w:num w:numId="27">
    <w:abstractNumId w:val="14"/>
  </w:num>
  <w:num w:numId="28">
    <w:abstractNumId w:val="12"/>
  </w:num>
  <w:num w:numId="2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3276"/>
    <w:rsid w:val="000B41CB"/>
    <w:rsid w:val="000C451A"/>
    <w:rsid w:val="000C5A39"/>
    <w:rsid w:val="000C5B0E"/>
    <w:rsid w:val="000D0536"/>
    <w:rsid w:val="000D12FC"/>
    <w:rsid w:val="000D1FDB"/>
    <w:rsid w:val="000E5D25"/>
    <w:rsid w:val="000F28A0"/>
    <w:rsid w:val="000F5187"/>
    <w:rsid w:val="00104CD7"/>
    <w:rsid w:val="00106BA5"/>
    <w:rsid w:val="0010756F"/>
    <w:rsid w:val="00111E3B"/>
    <w:rsid w:val="001174D3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5592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33F9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1693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64056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77746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46B5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957A7"/>
    <w:rsid w:val="009A52C5"/>
    <w:rsid w:val="009B3094"/>
    <w:rsid w:val="009C16F3"/>
    <w:rsid w:val="009C4416"/>
    <w:rsid w:val="009D0909"/>
    <w:rsid w:val="009D1A86"/>
    <w:rsid w:val="009D1E0A"/>
    <w:rsid w:val="009E3919"/>
    <w:rsid w:val="009E6275"/>
    <w:rsid w:val="009F319E"/>
    <w:rsid w:val="00A038BF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15AC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9334C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17E2"/>
    <w:rsid w:val="00E37655"/>
    <w:rsid w:val="00E42D5B"/>
    <w:rsid w:val="00E44DBE"/>
    <w:rsid w:val="00E47B19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47EB3"/>
    <w:rsid w:val="00F57E03"/>
    <w:rsid w:val="00F61E0C"/>
    <w:rsid w:val="00F74B29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0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0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uiPriority w:val="99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link w:val="AkapitzlistZnak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0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0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Nagwek">
    <w:name w:val="header"/>
    <w:basedOn w:val="Normalny"/>
    <w:link w:val="Nagwek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Stopka">
    <w:name w:val="footer"/>
    <w:basedOn w:val="Normalny"/>
    <w:link w:val="Stopka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ipercze">
    <w:name w:val="Hyperlink"/>
    <w:basedOn w:val="Domylnaczcionkaakapitu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ela-Siatka">
    <w:name w:val="Table Grid"/>
    <w:basedOn w:val="Standardowy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ny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Bezodstpw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AkapitzlistZnak">
    <w:name w:val="Akapit z listą Znak"/>
    <w:link w:val="Akapitzlist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ny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97605-D301-4064-9651-52EF3D0E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9600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11177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Mirkiewicz</dc:creator>
  <cp:keywords/>
  <dc:description/>
  <cp:lastModifiedBy>Daniel Mirkiewicz</cp:lastModifiedBy>
  <cp:revision>2</cp:revision>
  <cp:lastPrinted>2021-02-12T09:18:00Z</cp:lastPrinted>
  <dcterms:created xsi:type="dcterms:W3CDTF">2021-11-19T09:20:00Z</dcterms:created>
  <dcterms:modified xsi:type="dcterms:W3CDTF">2021-11-19T09:20:00Z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