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239C" w14:textId="77777777" w:rsidR="00862193" w:rsidRDefault="00862193" w:rsidP="00862193">
      <w:pPr>
        <w:rPr>
          <w:rFonts w:ascii="Arial" w:eastAsiaTheme="majorEastAsia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Ford prze</w:t>
      </w:r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jmuje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kalifornijski startup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Electriphi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/>
        </w:rPr>
        <w:t xml:space="preserve"> i łączy z usługami Ford Pro, by lepiej zarządzać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flotą pojazdów elektrycznych</w:t>
      </w:r>
    </w:p>
    <w:p w14:paraId="057B0C44" w14:textId="77777777" w:rsidR="00862193" w:rsidRDefault="00862193" w:rsidP="00862193">
      <w:pPr>
        <w:rPr>
          <w:rFonts w:ascii="Arial" w:hAnsi="Arial" w:cs="Arial"/>
          <w:lang w:val="pl-PL"/>
        </w:rPr>
      </w:pPr>
    </w:p>
    <w:p w14:paraId="5C923217" w14:textId="34BC8DE5" w:rsidR="00862193" w:rsidRDefault="00862193" w:rsidP="00862193">
      <w:pPr>
        <w:pStyle w:val="Akapitzlist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Ford planuje zintegrować możliwości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z usługami Ford Pro, w celu opracowania najbardziej zaawansowanych rozwiązań dotyczących ładowania i zarządzania energią dla klientów flotowych.</w:t>
      </w:r>
    </w:p>
    <w:p w14:paraId="5536ACDD" w14:textId="77777777" w:rsidR="00862193" w:rsidRDefault="00862193" w:rsidP="00862193">
      <w:pPr>
        <w:pStyle w:val="Akapitzlist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6F988EB2" w14:textId="2EF252AE" w:rsidR="00862193" w:rsidRDefault="00862193" w:rsidP="00862193">
      <w:pPr>
        <w:pStyle w:val="Akapitzlist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Przejęcie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uelastyczni zarządzanie flotą pojazdów elektrycznych, oferując klientom </w:t>
      </w:r>
      <w:r w:rsidR="0011748F">
        <w:rPr>
          <w:rFonts w:ascii="Arial" w:eastAsia="Arial" w:hAnsi="Arial" w:cs="Arial"/>
          <w:sz w:val="22"/>
          <w:szCs w:val="22"/>
          <w:lang w:val="pl-PL"/>
        </w:rPr>
        <w:t>biznesowym</w:t>
      </w:r>
      <w:r>
        <w:rPr>
          <w:rFonts w:ascii="Arial" w:eastAsia="Arial" w:hAnsi="Arial" w:cs="Arial"/>
          <w:sz w:val="22"/>
          <w:szCs w:val="22"/>
          <w:lang w:val="pl-PL"/>
        </w:rPr>
        <w:t xml:space="preserve">, świadome zarządzanie ładowaniem aut. </w:t>
      </w:r>
    </w:p>
    <w:p w14:paraId="6897491C" w14:textId="77777777" w:rsidR="00862193" w:rsidRPr="00862193" w:rsidRDefault="00862193" w:rsidP="00862193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4AA7238C" w14:textId="71AFC564" w:rsidR="00862193" w:rsidRDefault="00862193" w:rsidP="00862193">
      <w:pPr>
        <w:pStyle w:val="Akapitzlist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To część planu Forda, zakładającego zainwestowanie ponad 30 miliardów dolarów do 2025 roku, aby zrewolucjonizować elektryfikację samochodów dla klientów detalicznych i flotowych.</w:t>
      </w:r>
    </w:p>
    <w:p w14:paraId="090B8675" w14:textId="7C23810B" w:rsidR="00862193" w:rsidRDefault="00862193" w:rsidP="00862193">
      <w:pPr>
        <w:rPr>
          <w:rFonts w:ascii="Arial" w:eastAsia="Arial" w:hAnsi="Arial" w:cs="Arial"/>
          <w:sz w:val="22"/>
          <w:szCs w:val="22"/>
          <w:lang w:val="pl-PL"/>
        </w:rPr>
      </w:pPr>
    </w:p>
    <w:p w14:paraId="791A70B0" w14:textId="77777777" w:rsidR="00862193" w:rsidRDefault="00862193" w:rsidP="00862193">
      <w:pPr>
        <w:rPr>
          <w:rFonts w:ascii="Arial" w:eastAsia="Arial" w:hAnsi="Arial" w:cs="Arial"/>
          <w:sz w:val="22"/>
          <w:szCs w:val="22"/>
          <w:lang w:val="pl-PL"/>
        </w:rPr>
      </w:pPr>
    </w:p>
    <w:p w14:paraId="1A31ECC1" w14:textId="297F9404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xx czerwca 2021 roku – </w:t>
      </w:r>
      <w:r>
        <w:rPr>
          <w:rFonts w:ascii="Arial" w:hAnsi="Arial" w:cs="Arial"/>
          <w:sz w:val="22"/>
          <w:szCs w:val="22"/>
          <w:lang w:val="pl-PL"/>
        </w:rPr>
        <w:t xml:space="preserve">Ford ogłosił przejęcie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kalifornijskiego dostawc</w:t>
      </w:r>
      <w:r w:rsidR="0011748F">
        <w:rPr>
          <w:rFonts w:ascii="Arial" w:hAnsi="Arial" w:cs="Arial"/>
          <w:sz w:val="22"/>
          <w:szCs w:val="22"/>
          <w:lang w:val="pl-PL"/>
        </w:rPr>
        <w:t>ę</w:t>
      </w:r>
      <w:r>
        <w:rPr>
          <w:rFonts w:ascii="Arial" w:hAnsi="Arial" w:cs="Arial"/>
          <w:sz w:val="22"/>
          <w:szCs w:val="22"/>
          <w:lang w:val="pl-PL"/>
        </w:rPr>
        <w:t xml:space="preserve"> oprogramowania do zarządzania ładowaniem i monitorowania floty pojazdów elektrycznych. Zespół i usługi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zostaną zintegrowane z Ford Pro – now</w:t>
      </w:r>
      <w:r w:rsidR="001F34FF">
        <w:rPr>
          <w:rFonts w:ascii="Arial" w:hAnsi="Arial" w:cs="Arial"/>
          <w:sz w:val="22"/>
          <w:szCs w:val="22"/>
          <w:lang w:val="pl-PL"/>
        </w:rPr>
        <w:t>ym</w:t>
      </w:r>
      <w:r>
        <w:rPr>
          <w:rFonts w:ascii="Arial" w:hAnsi="Arial" w:cs="Arial"/>
          <w:sz w:val="22"/>
          <w:szCs w:val="22"/>
          <w:lang w:val="pl-PL"/>
        </w:rPr>
        <w:t xml:space="preserve"> globaln</w:t>
      </w:r>
      <w:r w:rsidR="001F34FF">
        <w:rPr>
          <w:rFonts w:ascii="Arial" w:hAnsi="Arial" w:cs="Arial"/>
          <w:sz w:val="22"/>
          <w:szCs w:val="22"/>
          <w:lang w:val="pl-PL"/>
        </w:rPr>
        <w:t>ym działem</w:t>
      </w:r>
      <w:r>
        <w:rPr>
          <w:rFonts w:ascii="Arial" w:hAnsi="Arial" w:cs="Arial"/>
          <w:sz w:val="22"/>
          <w:szCs w:val="22"/>
          <w:lang w:val="pl-PL"/>
        </w:rPr>
        <w:t xml:space="preserve"> w ramach Forda. </w:t>
      </w:r>
      <w:r w:rsidR="001F34FF">
        <w:rPr>
          <w:rFonts w:ascii="Arial" w:hAnsi="Arial" w:cs="Arial"/>
          <w:sz w:val="22"/>
          <w:szCs w:val="22"/>
          <w:lang w:val="pl-PL"/>
        </w:rPr>
        <w:t xml:space="preserve">Jego zadaniem jest dbałość o wydajność flot klientów biznesowych </w:t>
      </w:r>
      <w:r>
        <w:rPr>
          <w:rFonts w:ascii="Arial" w:hAnsi="Arial" w:cs="Arial"/>
          <w:sz w:val="22"/>
          <w:szCs w:val="22"/>
          <w:lang w:val="pl-PL"/>
        </w:rPr>
        <w:t>oraz opracowywanie najbardziej zaawansowanych rozwiązań związanych z ładowaniem pojazdów i zarządzaniem energią.</w:t>
      </w:r>
    </w:p>
    <w:p w14:paraId="08546F13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2A35DFE7" w14:textId="5D419974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Podczas gdy coraz więcej </w:t>
      </w:r>
      <w:r w:rsidR="001F34FF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lientów samochodów użytkowych rozważa </w:t>
      </w:r>
      <w:r w:rsidR="001F34FF">
        <w:rPr>
          <w:rFonts w:ascii="Arial" w:hAnsi="Arial" w:cs="Arial"/>
          <w:sz w:val="22"/>
          <w:szCs w:val="22"/>
          <w:lang w:val="pl-PL"/>
        </w:rPr>
        <w:t xml:space="preserve">zakup </w:t>
      </w:r>
      <w:r>
        <w:rPr>
          <w:rFonts w:ascii="Arial" w:hAnsi="Arial" w:cs="Arial"/>
          <w:sz w:val="22"/>
          <w:szCs w:val="22"/>
          <w:lang w:val="pl-PL"/>
        </w:rPr>
        <w:t>auta całkowicie elektryczne</w:t>
      </w:r>
      <w:r w:rsidR="001F34FF">
        <w:rPr>
          <w:rFonts w:ascii="Arial" w:hAnsi="Arial" w:cs="Arial"/>
          <w:sz w:val="22"/>
          <w:szCs w:val="22"/>
          <w:lang w:val="pl-PL"/>
        </w:rPr>
        <w:t>go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1F34FF">
        <w:rPr>
          <w:rFonts w:ascii="Arial" w:hAnsi="Arial" w:cs="Arial"/>
          <w:sz w:val="22"/>
          <w:szCs w:val="22"/>
          <w:lang w:val="pl-PL"/>
        </w:rPr>
        <w:t xml:space="preserve">to kwestia </w:t>
      </w:r>
      <w:r>
        <w:rPr>
          <w:rFonts w:ascii="Arial" w:hAnsi="Arial" w:cs="Arial"/>
          <w:sz w:val="22"/>
          <w:szCs w:val="22"/>
          <w:lang w:val="pl-PL"/>
        </w:rPr>
        <w:t>zarządzani</w:t>
      </w:r>
      <w:r w:rsidR="001F34FF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ładowaniem </w:t>
      </w:r>
      <w:r w:rsidR="001F34FF">
        <w:rPr>
          <w:rFonts w:ascii="Arial" w:hAnsi="Arial" w:cs="Arial"/>
          <w:sz w:val="22"/>
          <w:szCs w:val="22"/>
          <w:lang w:val="pl-PL"/>
        </w:rPr>
        <w:t xml:space="preserve">nadal </w:t>
      </w:r>
      <w:r>
        <w:rPr>
          <w:rFonts w:ascii="Arial" w:hAnsi="Arial" w:cs="Arial"/>
          <w:sz w:val="22"/>
          <w:szCs w:val="22"/>
          <w:lang w:val="pl-PL"/>
        </w:rPr>
        <w:t xml:space="preserve">pozostaje barierą do pokonania. Dlatego Ford Pro planuje wykorzystać swoją wiodącą pozycję na rynku pojazdów użytkowych, bogatą ofertę </w:t>
      </w:r>
      <w:r w:rsidR="001F34FF">
        <w:rPr>
          <w:rFonts w:ascii="Arial" w:hAnsi="Arial" w:cs="Arial"/>
          <w:sz w:val="22"/>
          <w:szCs w:val="22"/>
          <w:lang w:val="pl-PL"/>
        </w:rPr>
        <w:t>samochodów</w:t>
      </w:r>
      <w:r>
        <w:rPr>
          <w:rFonts w:ascii="Arial" w:hAnsi="Arial" w:cs="Arial"/>
          <w:sz w:val="22"/>
          <w:szCs w:val="22"/>
          <w:lang w:val="pl-PL"/>
        </w:rPr>
        <w:t xml:space="preserve"> oraz technologię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aby pomóc </w:t>
      </w:r>
      <w:r w:rsidR="001F34FF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lientom w tej przemianie.</w:t>
      </w:r>
    </w:p>
    <w:p w14:paraId="6FDB7D01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52577245" w14:textId="6D556D36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D20F33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lienci </w:t>
      </w:r>
      <w:r w:rsidR="00D20F33">
        <w:rPr>
          <w:rFonts w:ascii="Arial" w:hAnsi="Arial" w:cs="Arial"/>
          <w:sz w:val="22"/>
          <w:szCs w:val="22"/>
          <w:lang w:val="pl-PL"/>
        </w:rPr>
        <w:t>biznesowi</w:t>
      </w:r>
      <w:r>
        <w:rPr>
          <w:rFonts w:ascii="Arial" w:hAnsi="Arial" w:cs="Arial"/>
          <w:sz w:val="22"/>
          <w:szCs w:val="22"/>
          <w:lang w:val="pl-PL"/>
        </w:rPr>
        <w:t xml:space="preserve"> dodają pojazdy elektryczne do swoich flot,</w:t>
      </w:r>
      <w:r w:rsidR="00D20F33">
        <w:rPr>
          <w:rFonts w:ascii="Arial" w:hAnsi="Arial" w:cs="Arial"/>
          <w:sz w:val="22"/>
          <w:szCs w:val="22"/>
          <w:lang w:val="pl-PL"/>
        </w:rPr>
        <w:t xml:space="preserve"> stąd</w:t>
      </w:r>
      <w:r>
        <w:rPr>
          <w:rFonts w:ascii="Arial" w:hAnsi="Arial" w:cs="Arial"/>
          <w:sz w:val="22"/>
          <w:szCs w:val="22"/>
          <w:lang w:val="pl-PL"/>
        </w:rPr>
        <w:t xml:space="preserve"> chcą mieć </w:t>
      </w:r>
      <w:r w:rsidR="00D20F33">
        <w:rPr>
          <w:rFonts w:ascii="Arial" w:hAnsi="Arial" w:cs="Arial"/>
          <w:sz w:val="22"/>
          <w:szCs w:val="22"/>
          <w:lang w:val="pl-PL"/>
        </w:rPr>
        <w:t>możliwość</w:t>
      </w:r>
      <w:r>
        <w:rPr>
          <w:rFonts w:ascii="Arial" w:hAnsi="Arial" w:cs="Arial"/>
          <w:sz w:val="22"/>
          <w:szCs w:val="22"/>
          <w:lang w:val="pl-PL"/>
        </w:rPr>
        <w:t xml:space="preserve"> ładowania </w:t>
      </w:r>
      <w:r w:rsidR="00D20F33">
        <w:rPr>
          <w:rFonts w:ascii="Arial" w:hAnsi="Arial" w:cs="Arial"/>
          <w:sz w:val="22"/>
          <w:szCs w:val="22"/>
          <w:lang w:val="pl-PL"/>
        </w:rPr>
        <w:t xml:space="preserve">aut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="00D20F33">
        <w:rPr>
          <w:rFonts w:ascii="Arial" w:hAnsi="Arial" w:cs="Arial"/>
          <w:sz w:val="22"/>
          <w:szCs w:val="22"/>
          <w:lang w:val="pl-PL"/>
        </w:rPr>
        <w:t xml:space="preserve">swoich </w:t>
      </w:r>
      <w:r>
        <w:rPr>
          <w:rFonts w:ascii="Arial" w:hAnsi="Arial" w:cs="Arial"/>
          <w:sz w:val="22"/>
          <w:szCs w:val="22"/>
          <w:lang w:val="pl-PL"/>
        </w:rPr>
        <w:t>baz</w:t>
      </w:r>
      <w:r w:rsidR="00D20F33">
        <w:rPr>
          <w:rFonts w:ascii="Arial" w:hAnsi="Arial" w:cs="Arial"/>
          <w:sz w:val="22"/>
          <w:szCs w:val="22"/>
          <w:lang w:val="pl-PL"/>
        </w:rPr>
        <w:t>ach</w:t>
      </w:r>
      <w:r>
        <w:rPr>
          <w:rFonts w:ascii="Arial" w:hAnsi="Arial" w:cs="Arial"/>
          <w:sz w:val="22"/>
          <w:szCs w:val="22"/>
          <w:lang w:val="pl-PL"/>
        </w:rPr>
        <w:t xml:space="preserve">, aby mieć pewność, że są one zasilane i gotowe do pracy każdego dnia - powiedział Ted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Cannis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generalny Ford Pro. - Dzięki istniejącym zaawansowanym </w:t>
      </w:r>
      <w:r w:rsidRPr="00226765">
        <w:rPr>
          <w:rFonts w:ascii="Arial" w:hAnsi="Arial" w:cs="Arial"/>
          <w:sz w:val="22"/>
          <w:szCs w:val="22"/>
          <w:lang w:val="pl-PL"/>
        </w:rPr>
        <w:t xml:space="preserve">technologiom firmy </w:t>
      </w:r>
      <w:proofErr w:type="spellStart"/>
      <w:r w:rsidRPr="00226765"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 w:rsidR="00226765">
        <w:rPr>
          <w:rFonts w:ascii="Arial" w:hAnsi="Arial" w:cs="Arial"/>
          <w:sz w:val="22"/>
          <w:szCs w:val="22"/>
          <w:lang w:val="pl-PL"/>
        </w:rPr>
        <w:t>,</w:t>
      </w:r>
      <w:r w:rsidRPr="00226765">
        <w:rPr>
          <w:rFonts w:ascii="Arial" w:hAnsi="Arial" w:cs="Arial"/>
          <w:sz w:val="22"/>
          <w:szCs w:val="22"/>
          <w:lang w:val="pl-PL"/>
        </w:rPr>
        <w:t xml:space="preserve"> portfolio pojazdów elektrycznych i usług Ford Pro</w:t>
      </w:r>
      <w:r w:rsidR="00D20F33" w:rsidRPr="00226765">
        <w:rPr>
          <w:rFonts w:ascii="Arial" w:hAnsi="Arial" w:cs="Arial"/>
          <w:sz w:val="22"/>
          <w:szCs w:val="22"/>
          <w:lang w:val="pl-PL"/>
        </w:rPr>
        <w:t>,</w:t>
      </w:r>
      <w:r w:rsidRPr="00226765">
        <w:rPr>
          <w:rFonts w:ascii="Arial" w:hAnsi="Arial" w:cs="Arial"/>
          <w:sz w:val="22"/>
          <w:szCs w:val="22"/>
          <w:lang w:val="pl-PL"/>
        </w:rPr>
        <w:t xml:space="preserve"> ułatwimy eksploatację klientom </w:t>
      </w:r>
      <w:r w:rsidR="00D20F33" w:rsidRPr="00226765">
        <w:rPr>
          <w:rFonts w:ascii="Arial" w:hAnsi="Arial" w:cs="Arial"/>
          <w:sz w:val="22"/>
          <w:szCs w:val="22"/>
          <w:lang w:val="pl-PL"/>
        </w:rPr>
        <w:t>flotowym</w:t>
      </w:r>
      <w:r w:rsidRPr="00226765">
        <w:rPr>
          <w:rFonts w:ascii="Arial" w:hAnsi="Arial" w:cs="Arial"/>
          <w:sz w:val="22"/>
          <w:szCs w:val="22"/>
          <w:lang w:val="pl-PL"/>
        </w:rPr>
        <w:t xml:space="preserve"> i będziemy w stanie zaoferować </w:t>
      </w:r>
      <w:r w:rsidR="00226765">
        <w:rPr>
          <w:rFonts w:ascii="Arial" w:hAnsi="Arial" w:cs="Arial"/>
          <w:sz w:val="22"/>
          <w:szCs w:val="22"/>
          <w:lang w:val="pl-PL"/>
        </w:rPr>
        <w:t xml:space="preserve">im </w:t>
      </w:r>
      <w:r w:rsidRPr="00226765">
        <w:rPr>
          <w:rFonts w:ascii="Arial" w:hAnsi="Arial" w:cs="Arial"/>
          <w:sz w:val="22"/>
          <w:szCs w:val="22"/>
          <w:lang w:val="pl-PL"/>
        </w:rPr>
        <w:t xml:space="preserve">jedno spójne rozwiązanie do ładowania aut </w:t>
      </w:r>
      <w:r w:rsidR="00226765">
        <w:rPr>
          <w:rFonts w:ascii="Arial" w:hAnsi="Arial" w:cs="Arial"/>
          <w:sz w:val="22"/>
          <w:szCs w:val="22"/>
          <w:lang w:val="pl-PL"/>
        </w:rPr>
        <w:t>na terenie klienta</w:t>
      </w:r>
      <w:r w:rsidRPr="00226765">
        <w:rPr>
          <w:rFonts w:ascii="Arial" w:hAnsi="Arial" w:cs="Arial"/>
          <w:sz w:val="22"/>
          <w:szCs w:val="22"/>
          <w:lang w:val="pl-PL"/>
        </w:rPr>
        <w:t xml:space="preserve"> – dodał.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FC791E9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26359779" w14:textId="0FD0CF70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Pro szacuje, że do 2030 roku branża ładowania </w:t>
      </w:r>
      <w:r w:rsidR="00226765">
        <w:rPr>
          <w:rFonts w:ascii="Arial" w:hAnsi="Arial" w:cs="Arial"/>
          <w:sz w:val="22"/>
          <w:szCs w:val="22"/>
          <w:lang w:val="pl-PL"/>
        </w:rPr>
        <w:t xml:space="preserve">na </w:t>
      </w:r>
      <w:r>
        <w:rPr>
          <w:rFonts w:ascii="Arial" w:hAnsi="Arial" w:cs="Arial"/>
          <w:sz w:val="22"/>
          <w:szCs w:val="22"/>
          <w:lang w:val="pl-PL"/>
        </w:rPr>
        <w:t xml:space="preserve">w przystosowanych do tego zajezdniach wzrośnie do ponad 600 000 pełnowymiarowych ciężarówek i furgonetek. Przejęcie </w:t>
      </w:r>
      <w:proofErr w:type="spellStart"/>
      <w:r w:rsidR="00D20F33"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 w:rsidR="00D20F3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wspiera cel </w:t>
      </w:r>
      <w:r w:rsidR="00D20F33">
        <w:rPr>
          <w:rFonts w:ascii="Arial" w:hAnsi="Arial" w:cs="Arial"/>
          <w:sz w:val="22"/>
          <w:szCs w:val="22"/>
          <w:lang w:val="pl-PL"/>
        </w:rPr>
        <w:t xml:space="preserve">działu Ford </w:t>
      </w:r>
      <w:r>
        <w:rPr>
          <w:rFonts w:ascii="Arial" w:hAnsi="Arial" w:cs="Arial"/>
          <w:sz w:val="22"/>
          <w:szCs w:val="22"/>
          <w:lang w:val="pl-PL"/>
        </w:rPr>
        <w:t>Pro, jakim jest uzyskanie ponad 1 miliarda dolarów przychodów z ładowania do 2030 roku.</w:t>
      </w:r>
    </w:p>
    <w:p w14:paraId="7100D24C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4790A98A" w14:textId="06F3BE75" w:rsidR="00862193" w:rsidRDefault="00862193" w:rsidP="00862193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Przejęcie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drogą do rozwoju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elektromobilności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0F33">
        <w:rPr>
          <w:rFonts w:ascii="Arial" w:hAnsi="Arial" w:cs="Arial"/>
          <w:b/>
          <w:sz w:val="22"/>
          <w:szCs w:val="22"/>
          <w:lang w:val="pl-PL"/>
        </w:rPr>
        <w:t>flotowej</w:t>
      </w:r>
    </w:p>
    <w:p w14:paraId="13C4FDC2" w14:textId="236FF62B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Przejęcie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ma miejsce w chwili, gdy Ford przygotowuje się do wprowadzenia na rynek całkowicie elektrycznych wersji dwóch najpopularniejszych na świecie pojazdów użytkowych – furgonetki Transit i pickupa F-150. Ford rozpocznie </w:t>
      </w:r>
      <w:r w:rsidR="00F475CD">
        <w:rPr>
          <w:rFonts w:ascii="Arial" w:hAnsi="Arial" w:cs="Arial"/>
          <w:sz w:val="22"/>
          <w:szCs w:val="22"/>
          <w:lang w:val="pl-PL"/>
        </w:rPr>
        <w:t>dostawy</w:t>
      </w:r>
      <w:r>
        <w:rPr>
          <w:rFonts w:ascii="Arial" w:hAnsi="Arial" w:cs="Arial"/>
          <w:sz w:val="22"/>
          <w:szCs w:val="22"/>
          <w:lang w:val="pl-PL"/>
        </w:rPr>
        <w:t xml:space="preserve"> modelu E-Transit do klientów jeszcze w tym roku, natomiast F-150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Pro będzie dostępny wiosną 2022 roku.</w:t>
      </w:r>
    </w:p>
    <w:p w14:paraId="0747C12A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66CA18E2" w14:textId="6C2AFF31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Klienci są pewni swoich oczekiwań – elektryfikacja ich flot jest nieunikniona, ponieważ przyniesie znaczne korzyści ekonomiczne, także te związane ze zrównoważonym rozwojem. Wszyscy potrzebują już teraz rozwiązań, które umożliwią płynne przejście flot na pojazdy elektryczne – powiedział </w:t>
      </w:r>
      <w:proofErr w:type="spellStart"/>
      <w:r w:rsidR="00F475CD">
        <w:rPr>
          <w:rFonts w:ascii="Arial" w:hAnsi="Arial" w:cs="Arial"/>
          <w:sz w:val="22"/>
          <w:szCs w:val="22"/>
          <w:lang w:val="pl-PL"/>
        </w:rPr>
        <w:t>Muffi</w:t>
      </w:r>
      <w:proofErr w:type="spellEnd"/>
      <w:r w:rsidR="00F475C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F475CD">
        <w:rPr>
          <w:rFonts w:ascii="Arial" w:hAnsi="Arial" w:cs="Arial"/>
          <w:sz w:val="22"/>
          <w:szCs w:val="22"/>
          <w:lang w:val="pl-PL"/>
        </w:rPr>
        <w:t>Ghadiali</w:t>
      </w:r>
      <w:proofErr w:type="spellEnd"/>
      <w:r w:rsidR="00F475CD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dyrektor generalny i współzałożyciel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>. - Nasza synergia z Ford Pro wzmocni tę transformację. Chcemy za</w:t>
      </w:r>
      <w:r w:rsidR="00226765">
        <w:rPr>
          <w:rFonts w:ascii="Arial" w:hAnsi="Arial" w:cs="Arial"/>
          <w:sz w:val="22"/>
          <w:szCs w:val="22"/>
          <w:lang w:val="pl-PL"/>
        </w:rPr>
        <w:t>dowolić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475CD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>lientów, pomagając im czerpać korzyści z elektryfikacji, aby mogli skupić się na tym, co najważniejsze – na efektywnym prowadzeniu biznesu – dodał.</w:t>
      </w:r>
    </w:p>
    <w:p w14:paraId="722991E1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3FCE67A3" w14:textId="2F8E07C3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Umiejscowiony w Dolinie Krzemowej, zespół ponad 30 pracowników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opracował i wdrożył specjalnie zbudowaną platformę zarządzania flotą pojazdów elektrycznych i ładowani</w:t>
      </w:r>
      <w:r w:rsidR="00F475CD">
        <w:rPr>
          <w:rFonts w:ascii="Arial" w:hAnsi="Arial" w:cs="Arial"/>
          <w:sz w:val="22"/>
          <w:szCs w:val="22"/>
          <w:lang w:val="pl-PL"/>
        </w:rPr>
        <w:t>em</w:t>
      </w:r>
      <w:r>
        <w:rPr>
          <w:rFonts w:ascii="Arial" w:hAnsi="Arial" w:cs="Arial"/>
          <w:sz w:val="22"/>
          <w:szCs w:val="22"/>
          <w:lang w:val="pl-PL"/>
        </w:rPr>
        <w:t xml:space="preserve">, która upraszcza elektryfikację floty, obniża koszty energii i śledzi kluczowe wskaźniki operacyjne, takie jak stan pojazdów w czasie rzeczywistym, </w:t>
      </w:r>
      <w:r w:rsidR="00F475CD">
        <w:rPr>
          <w:rFonts w:ascii="Arial" w:hAnsi="Arial" w:cs="Arial"/>
          <w:sz w:val="22"/>
          <w:szCs w:val="22"/>
          <w:lang w:val="pl-PL"/>
        </w:rPr>
        <w:t xml:space="preserve">dostępność </w:t>
      </w:r>
      <w:r>
        <w:rPr>
          <w:rFonts w:ascii="Arial" w:hAnsi="Arial" w:cs="Arial"/>
          <w:sz w:val="22"/>
          <w:szCs w:val="22"/>
          <w:lang w:val="pl-PL"/>
        </w:rPr>
        <w:t>ładowar</w:t>
      </w:r>
      <w:r w:rsidR="00F475CD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k i </w:t>
      </w:r>
      <w:r w:rsidR="00F475CD">
        <w:rPr>
          <w:rFonts w:ascii="Arial" w:hAnsi="Arial" w:cs="Arial"/>
          <w:sz w:val="22"/>
          <w:szCs w:val="22"/>
          <w:lang w:val="pl-PL"/>
        </w:rPr>
        <w:t xml:space="preserve">niezbędne </w:t>
      </w:r>
      <w:r>
        <w:rPr>
          <w:rFonts w:ascii="Arial" w:hAnsi="Arial" w:cs="Arial"/>
          <w:sz w:val="22"/>
          <w:szCs w:val="22"/>
          <w:lang w:val="pl-PL"/>
        </w:rPr>
        <w:t xml:space="preserve">usługi </w:t>
      </w:r>
      <w:r w:rsidR="00F475CD">
        <w:rPr>
          <w:rFonts w:ascii="Arial" w:hAnsi="Arial" w:cs="Arial"/>
          <w:sz w:val="22"/>
          <w:szCs w:val="22"/>
          <w:lang w:val="pl-PL"/>
        </w:rPr>
        <w:t>serwisowe</w:t>
      </w:r>
      <w:r>
        <w:rPr>
          <w:rFonts w:ascii="Arial" w:hAnsi="Arial" w:cs="Arial"/>
          <w:sz w:val="22"/>
          <w:szCs w:val="22"/>
          <w:lang w:val="pl-PL"/>
        </w:rPr>
        <w:t xml:space="preserve">. Zespół ambitnych ekspertów wnosi głęboką wiedzę specjalistyczną w zakresie infrastruktury ładowania, ale także </w:t>
      </w:r>
      <w:r w:rsidR="00B37CC0">
        <w:rPr>
          <w:rFonts w:ascii="Arial" w:hAnsi="Arial" w:cs="Arial"/>
          <w:sz w:val="22"/>
          <w:szCs w:val="22"/>
          <w:lang w:val="pl-PL"/>
        </w:rPr>
        <w:t>zarządzania flotą</w:t>
      </w:r>
      <w:r>
        <w:rPr>
          <w:rFonts w:ascii="Arial" w:hAnsi="Arial" w:cs="Arial"/>
          <w:sz w:val="22"/>
          <w:szCs w:val="22"/>
          <w:lang w:val="pl-PL"/>
        </w:rPr>
        <w:t xml:space="preserve"> pojazdów elektrycznych i oprogramowania dla przedsiębiorstw.</w:t>
      </w:r>
    </w:p>
    <w:p w14:paraId="6C6ABEA4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56207F08" w14:textId="53ED74CB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Ford Pro koncentruje się na pomaganiu </w:t>
      </w:r>
      <w:r w:rsidR="00B37CC0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lientom </w:t>
      </w:r>
      <w:r w:rsidR="00B37CC0">
        <w:rPr>
          <w:rFonts w:ascii="Arial" w:hAnsi="Arial" w:cs="Arial"/>
          <w:sz w:val="22"/>
          <w:szCs w:val="22"/>
          <w:lang w:val="pl-PL"/>
        </w:rPr>
        <w:t>flotowym</w:t>
      </w:r>
      <w:r>
        <w:rPr>
          <w:rFonts w:ascii="Arial" w:hAnsi="Arial" w:cs="Arial"/>
          <w:sz w:val="22"/>
          <w:szCs w:val="22"/>
          <w:lang w:val="pl-PL"/>
        </w:rPr>
        <w:t xml:space="preserve"> w lepszej i inteligentniejszej kooperacji, z większą </w:t>
      </w:r>
      <w:r w:rsidR="00B37CC0">
        <w:rPr>
          <w:rFonts w:ascii="Arial" w:hAnsi="Arial" w:cs="Arial"/>
          <w:sz w:val="22"/>
          <w:szCs w:val="22"/>
          <w:lang w:val="pl-PL"/>
        </w:rPr>
        <w:t>wydajnością</w:t>
      </w:r>
      <w:r>
        <w:rPr>
          <w:rFonts w:ascii="Arial" w:hAnsi="Arial" w:cs="Arial"/>
          <w:sz w:val="22"/>
          <w:szCs w:val="22"/>
          <w:lang w:val="pl-PL"/>
        </w:rPr>
        <w:t xml:space="preserve"> i łącznością popartą niezawodną trwałością -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Cannis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- Wprowadzenie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pokład jest ostatnim elementem, który dopełnia strategię Ford </w:t>
      </w:r>
      <w:proofErr w:type="gramStart"/>
      <w:r>
        <w:rPr>
          <w:rFonts w:ascii="Arial" w:hAnsi="Arial" w:cs="Arial"/>
          <w:sz w:val="22"/>
          <w:szCs w:val="22"/>
          <w:lang w:val="pl-PL"/>
        </w:rPr>
        <w:t>Pro mającą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na celu</w:t>
      </w:r>
      <w:r w:rsidR="00B37CC0">
        <w:rPr>
          <w:rFonts w:ascii="Arial" w:hAnsi="Arial" w:cs="Arial"/>
          <w:sz w:val="22"/>
          <w:szCs w:val="22"/>
          <w:lang w:val="pl-PL"/>
        </w:rPr>
        <w:t xml:space="preserve"> objęcie </w:t>
      </w:r>
      <w:r>
        <w:rPr>
          <w:rFonts w:ascii="Arial" w:hAnsi="Arial" w:cs="Arial"/>
          <w:sz w:val="22"/>
          <w:szCs w:val="22"/>
          <w:lang w:val="pl-PL"/>
        </w:rPr>
        <w:t xml:space="preserve">pozycji lidera w obszarze oprogramowania i zbudowanie pełnego zestawu </w:t>
      </w:r>
      <w:r w:rsidR="00B37CC0">
        <w:rPr>
          <w:rFonts w:ascii="Arial" w:hAnsi="Arial" w:cs="Arial"/>
          <w:sz w:val="22"/>
          <w:szCs w:val="22"/>
          <w:lang w:val="pl-PL"/>
        </w:rPr>
        <w:t xml:space="preserve">naszych </w:t>
      </w:r>
      <w:r>
        <w:rPr>
          <w:rFonts w:ascii="Arial" w:hAnsi="Arial" w:cs="Arial"/>
          <w:sz w:val="22"/>
          <w:szCs w:val="22"/>
          <w:lang w:val="pl-PL"/>
        </w:rPr>
        <w:t xml:space="preserve">usług, aby stworzyć stałą relację z </w:t>
      </w:r>
      <w:r w:rsidR="00B37CC0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lientem </w:t>
      </w:r>
      <w:r w:rsidR="00B37CC0">
        <w:rPr>
          <w:rFonts w:ascii="Arial" w:hAnsi="Arial" w:cs="Arial"/>
          <w:sz w:val="22"/>
          <w:szCs w:val="22"/>
          <w:lang w:val="pl-PL"/>
        </w:rPr>
        <w:t>flotowym</w:t>
      </w:r>
      <w:r>
        <w:rPr>
          <w:rFonts w:ascii="Arial" w:hAnsi="Arial" w:cs="Arial"/>
          <w:sz w:val="22"/>
          <w:szCs w:val="22"/>
          <w:lang w:val="pl-PL"/>
        </w:rPr>
        <w:t xml:space="preserve"> - dodał.</w:t>
      </w:r>
    </w:p>
    <w:p w14:paraId="37B62DA6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630207AE" w14:textId="77777777" w:rsidR="00862193" w:rsidRDefault="00862193" w:rsidP="00862193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Kompleksowe usługi związane z ładowaniem pojazdów</w:t>
      </w:r>
    </w:p>
    <w:p w14:paraId="6F0F944C" w14:textId="2E6EBA46" w:rsidR="00862193" w:rsidRDefault="00862193" w:rsidP="0056754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Platforma ładowania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Electriphi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uzupełni specjalnie zaprojektowane usługi ekosystemu ładowania dla </w:t>
      </w:r>
      <w:r w:rsidR="00B37CC0">
        <w:rPr>
          <w:rFonts w:ascii="Arial" w:hAnsi="Arial" w:cs="Arial"/>
          <w:sz w:val="22"/>
          <w:szCs w:val="22"/>
          <w:lang w:val="pl-PL"/>
        </w:rPr>
        <w:t>k</w:t>
      </w:r>
      <w:r>
        <w:rPr>
          <w:rFonts w:ascii="Arial" w:hAnsi="Arial" w:cs="Arial"/>
          <w:sz w:val="22"/>
          <w:szCs w:val="22"/>
          <w:lang w:val="pl-PL"/>
        </w:rPr>
        <w:t xml:space="preserve">lientów </w:t>
      </w:r>
      <w:r w:rsidR="00B37CC0">
        <w:rPr>
          <w:rFonts w:ascii="Arial" w:hAnsi="Arial" w:cs="Arial"/>
          <w:sz w:val="22"/>
          <w:szCs w:val="22"/>
          <w:lang w:val="pl-PL"/>
        </w:rPr>
        <w:t>flotowych</w:t>
      </w:r>
      <w:r>
        <w:rPr>
          <w:rFonts w:ascii="Arial" w:hAnsi="Arial" w:cs="Arial"/>
          <w:sz w:val="22"/>
          <w:szCs w:val="22"/>
          <w:lang w:val="pl-PL"/>
        </w:rPr>
        <w:t>, w tym ładowanie w domu pracowników, ładowanie publiczne i rozwiązania e-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telematyki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3B91B73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2F5EDDB9" w14:textId="77777777" w:rsidR="00862193" w:rsidRDefault="00862193" w:rsidP="00862193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Ford Pro – wartości dla klienta komercyjnego</w:t>
      </w:r>
    </w:p>
    <w:p w14:paraId="3142FB68" w14:textId="509FD611" w:rsidR="00226765" w:rsidRDefault="00226765" w:rsidP="00862193">
      <w:pPr>
        <w:rPr>
          <w:rFonts w:ascii="Arial" w:hAnsi="Arial" w:cs="Arial"/>
          <w:sz w:val="22"/>
          <w:szCs w:val="22"/>
          <w:lang w:val="pl-PL"/>
        </w:rPr>
      </w:pPr>
      <w:r w:rsidRPr="003134E9">
        <w:rPr>
          <w:rFonts w:ascii="Arial" w:hAnsi="Arial" w:cs="Arial"/>
          <w:sz w:val="22"/>
          <w:szCs w:val="22"/>
          <w:lang w:val="pl-PL"/>
        </w:rPr>
        <w:t>Ford Pro</w:t>
      </w:r>
      <w:r>
        <w:rPr>
          <w:rFonts w:ascii="Arial" w:hAnsi="Arial" w:cs="Arial"/>
          <w:sz w:val="22"/>
          <w:szCs w:val="22"/>
          <w:lang w:val="pl-PL"/>
        </w:rPr>
        <w:t xml:space="preserve">, kluczowa część planu Ford+ na rzecz wzrostu i tworzenia wartości, </w:t>
      </w:r>
      <w:r w:rsidRPr="003134E9">
        <w:rPr>
          <w:rFonts w:ascii="Arial" w:hAnsi="Arial" w:cs="Arial"/>
          <w:sz w:val="22"/>
          <w:szCs w:val="22"/>
          <w:lang w:val="pl-PL"/>
        </w:rPr>
        <w:t>będzie integrował, wprowadzał rozwiązania cyfrowe i upraszczał transport dzięki</w:t>
      </w:r>
    </w:p>
    <w:p w14:paraId="1CB2A4FD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0A21E1EE" w14:textId="526A23DB" w:rsidR="00363D59" w:rsidRDefault="00862193" w:rsidP="00862193">
      <w:pPr>
        <w:pStyle w:val="Akapitzlist"/>
        <w:numPr>
          <w:ilvl w:val="0"/>
          <w:numId w:val="28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Pojazdy Ford Pro</w:t>
      </w:r>
      <w:r>
        <w:rPr>
          <w:rFonts w:ascii="Arial" w:hAnsi="Arial" w:cs="Arial"/>
          <w:sz w:val="22"/>
          <w:szCs w:val="22"/>
          <w:lang w:val="pl-PL"/>
        </w:rPr>
        <w:t xml:space="preserve"> — szeroka gama pojazdów użytkowych Forda z </w:t>
      </w:r>
      <w:r w:rsidR="00363D59" w:rsidRPr="003134E9">
        <w:rPr>
          <w:rFonts w:ascii="Arial" w:hAnsi="Arial" w:cs="Arial"/>
          <w:sz w:val="22"/>
          <w:szCs w:val="22"/>
          <w:lang w:val="pl-PL"/>
        </w:rPr>
        <w:t>silnikami spalinowymi i napędami hybrydowymi, a wkrótce także całkowicie elektryczne wersje wiodących w branży samochodów dostawczych i dużych pickupów opracowanych dla klienta biznesowego</w:t>
      </w:r>
      <w:r w:rsidR="00363D59">
        <w:rPr>
          <w:rFonts w:ascii="Arial" w:hAnsi="Arial" w:cs="Arial"/>
          <w:sz w:val="22"/>
          <w:szCs w:val="22"/>
          <w:lang w:val="pl-PL"/>
        </w:rPr>
        <w:t>,</w:t>
      </w:r>
    </w:p>
    <w:p w14:paraId="001EFCAD" w14:textId="77777777" w:rsidR="00363D59" w:rsidRDefault="00363D59" w:rsidP="00363D59">
      <w:pPr>
        <w:pStyle w:val="Akapitzlist"/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4BBB1FBE" w14:textId="5C02A609" w:rsidR="00862193" w:rsidRDefault="00862193" w:rsidP="00862193">
      <w:pPr>
        <w:pStyle w:val="Akapitzlist"/>
        <w:numPr>
          <w:ilvl w:val="0"/>
          <w:numId w:val="28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Ładowanie Ford Pro</w:t>
      </w:r>
      <w:r>
        <w:rPr>
          <w:rFonts w:ascii="Arial" w:hAnsi="Arial" w:cs="Arial"/>
          <w:sz w:val="22"/>
          <w:szCs w:val="22"/>
          <w:lang w:val="pl-PL"/>
        </w:rPr>
        <w:t xml:space="preserve"> — rozwiązania sprzętowe i programowe do ładowania pojazdów elektrycznych w miejscach publicznych, </w:t>
      </w:r>
      <w:r w:rsidR="0011748F">
        <w:rPr>
          <w:rFonts w:ascii="Arial" w:hAnsi="Arial" w:cs="Arial"/>
          <w:sz w:val="22"/>
          <w:szCs w:val="22"/>
          <w:lang w:val="pl-PL"/>
        </w:rPr>
        <w:t>na terenach firm</w:t>
      </w:r>
      <w:r>
        <w:rPr>
          <w:rFonts w:ascii="Arial" w:hAnsi="Arial" w:cs="Arial"/>
          <w:sz w:val="22"/>
          <w:szCs w:val="22"/>
          <w:lang w:val="pl-PL"/>
        </w:rPr>
        <w:t xml:space="preserve"> i w dom</w:t>
      </w:r>
      <w:r w:rsidR="0011748F">
        <w:rPr>
          <w:rFonts w:ascii="Arial" w:hAnsi="Arial" w:cs="Arial"/>
          <w:sz w:val="22"/>
          <w:szCs w:val="22"/>
          <w:lang w:val="pl-PL"/>
        </w:rPr>
        <w:t>ach</w:t>
      </w:r>
      <w:r>
        <w:rPr>
          <w:rFonts w:ascii="Arial" w:hAnsi="Arial" w:cs="Arial"/>
          <w:sz w:val="22"/>
          <w:szCs w:val="22"/>
          <w:lang w:val="pl-PL"/>
        </w:rPr>
        <w:t xml:space="preserve"> pracownik</w:t>
      </w:r>
      <w:r w:rsidR="0011748F">
        <w:rPr>
          <w:rFonts w:ascii="Arial" w:hAnsi="Arial" w:cs="Arial"/>
          <w:sz w:val="22"/>
          <w:szCs w:val="22"/>
          <w:lang w:val="pl-PL"/>
        </w:rPr>
        <w:t>ów</w:t>
      </w:r>
      <w:r>
        <w:rPr>
          <w:rFonts w:ascii="Arial" w:hAnsi="Arial" w:cs="Arial"/>
          <w:sz w:val="22"/>
          <w:szCs w:val="22"/>
          <w:lang w:val="pl-PL"/>
        </w:rPr>
        <w:t>, aby były gotowe do pracy następnego dnia.</w:t>
      </w:r>
    </w:p>
    <w:p w14:paraId="6CA88753" w14:textId="77777777" w:rsidR="0011748F" w:rsidRPr="0011748F" w:rsidRDefault="0011748F" w:rsidP="0011748F">
      <w:pPr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536D871F" w14:textId="68AD8914" w:rsidR="0011748F" w:rsidRDefault="00862193" w:rsidP="00862193">
      <w:pPr>
        <w:pStyle w:val="Akapitzlist"/>
        <w:numPr>
          <w:ilvl w:val="0"/>
          <w:numId w:val="28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Inteligencja Ford Pro</w:t>
      </w:r>
      <w:r>
        <w:rPr>
          <w:rFonts w:ascii="Arial" w:hAnsi="Arial" w:cs="Arial"/>
          <w:sz w:val="22"/>
          <w:szCs w:val="22"/>
          <w:lang w:val="pl-PL"/>
        </w:rPr>
        <w:t xml:space="preserve"> — usługi cyfrowe z </w:t>
      </w:r>
      <w:r w:rsidR="0011748F" w:rsidRPr="003134E9">
        <w:rPr>
          <w:rFonts w:ascii="Arial" w:hAnsi="Arial" w:cs="Arial"/>
          <w:sz w:val="22"/>
          <w:szCs w:val="22"/>
          <w:lang w:val="pl-PL"/>
        </w:rPr>
        <w:t>unikatowymi funkcjami zintegrowanymi z pojazdami, które umożliwiają klientom lepsze zarządzanie pracą i obsługą floty samochodowej</w:t>
      </w:r>
      <w:r w:rsidR="0011748F">
        <w:rPr>
          <w:rFonts w:ascii="Arial" w:hAnsi="Arial" w:cs="Arial"/>
          <w:sz w:val="22"/>
          <w:szCs w:val="22"/>
          <w:lang w:val="pl-PL"/>
        </w:rPr>
        <w:t>,</w:t>
      </w:r>
    </w:p>
    <w:p w14:paraId="45B0709E" w14:textId="77777777" w:rsidR="0011748F" w:rsidRDefault="0011748F" w:rsidP="0011748F">
      <w:pPr>
        <w:pStyle w:val="Akapitzlist"/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7ADBDE78" w14:textId="77777777" w:rsidR="0011748F" w:rsidRDefault="00862193" w:rsidP="0011748F">
      <w:pPr>
        <w:pStyle w:val="Akapitzlist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Ford Pro Services Elite</w:t>
      </w:r>
      <w:r>
        <w:rPr>
          <w:rFonts w:ascii="Arial" w:hAnsi="Arial" w:cs="Arial"/>
          <w:sz w:val="22"/>
          <w:szCs w:val="22"/>
          <w:lang w:val="pl-PL"/>
        </w:rPr>
        <w:t xml:space="preserve"> – rozszerzenie</w:t>
      </w:r>
      <w:r w:rsidR="0011748F">
        <w:rPr>
          <w:rFonts w:ascii="Arial" w:hAnsi="Arial" w:cs="Arial"/>
          <w:sz w:val="22"/>
          <w:szCs w:val="22"/>
          <w:lang w:val="pl-PL"/>
        </w:rPr>
        <w:t xml:space="preserve"> </w:t>
      </w:r>
      <w:r w:rsidR="0011748F" w:rsidRPr="003134E9">
        <w:rPr>
          <w:rFonts w:ascii="Arial" w:hAnsi="Arial" w:cs="Arial"/>
          <w:sz w:val="22"/>
          <w:szCs w:val="22"/>
          <w:lang w:val="pl-PL"/>
        </w:rPr>
        <w:t xml:space="preserve">już obecnie silnej sieci centrów samochodów użytkowych Forda poprzez dodanie 120 wyspecjalizowanych, dużych centrów serwisowych w całych Stanach Zjednoczonych, z rozszerzonym czasem pracy, zdolnych do szybkiego reagowania, a także wprowadzenie 1200 mobilnych pojazdów serwisowych do 2025 roku, </w:t>
      </w:r>
      <w:r w:rsidR="0011748F" w:rsidRPr="003134E9">
        <w:rPr>
          <w:rFonts w:ascii="Arial" w:hAnsi="Arial" w:cs="Arial"/>
          <w:sz w:val="22"/>
          <w:szCs w:val="22"/>
          <w:lang w:val="pl-PL"/>
        </w:rPr>
        <w:lastRenderedPageBreak/>
        <w:t>których celem będzie docieranie do klientów zgłaszających awarię w trasie i uruchomienie pojazdu na miejscu, co wpłynie na obniżenie kosztów oraz</w:t>
      </w:r>
      <w:r w:rsidR="0011748F">
        <w:rPr>
          <w:rFonts w:ascii="Arial" w:hAnsi="Arial" w:cs="Arial"/>
          <w:sz w:val="22"/>
          <w:szCs w:val="22"/>
          <w:lang w:val="pl-PL"/>
        </w:rPr>
        <w:t>,</w:t>
      </w:r>
    </w:p>
    <w:p w14:paraId="6BDC8501" w14:textId="5FF2920F" w:rsidR="0011748F" w:rsidRPr="0011748F" w:rsidRDefault="0011748F" w:rsidP="0011748F">
      <w:pPr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58517348" w14:textId="77777777" w:rsidR="0011748F" w:rsidRPr="003134E9" w:rsidRDefault="00862193" w:rsidP="0011748F">
      <w:pPr>
        <w:pStyle w:val="Akapitzlist"/>
        <w:numPr>
          <w:ilvl w:val="0"/>
          <w:numId w:val="29"/>
        </w:num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Ford Pro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FinSimple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</w:t>
      </w:r>
      <w:r w:rsidR="0011748F">
        <w:rPr>
          <w:rFonts w:ascii="Arial" w:hAnsi="Arial" w:cs="Arial"/>
          <w:sz w:val="22"/>
          <w:szCs w:val="22"/>
          <w:lang w:val="pl-PL"/>
        </w:rPr>
        <w:t xml:space="preserve"> </w:t>
      </w:r>
      <w:r w:rsidR="0011748F" w:rsidRPr="003134E9">
        <w:rPr>
          <w:rFonts w:ascii="Arial" w:hAnsi="Arial" w:cs="Arial"/>
          <w:sz w:val="22"/>
          <w:szCs w:val="22"/>
          <w:lang w:val="pl-PL"/>
        </w:rPr>
        <w:t>prosta, łączona obsługa finansowa pojazdów, usług i ładowania akumulatorów.</w:t>
      </w:r>
    </w:p>
    <w:p w14:paraId="25294665" w14:textId="47C065AD" w:rsidR="00862193" w:rsidRDefault="00862193" w:rsidP="0011748F">
      <w:pPr>
        <w:pStyle w:val="Akapitzlist"/>
        <w:suppressAutoHyphens w:val="0"/>
        <w:rPr>
          <w:rFonts w:ascii="Arial" w:hAnsi="Arial" w:cs="Arial"/>
          <w:sz w:val="22"/>
          <w:szCs w:val="22"/>
          <w:lang w:val="pl-PL"/>
        </w:rPr>
      </w:pPr>
    </w:p>
    <w:p w14:paraId="7D0A9897" w14:textId="2F167DF9" w:rsidR="0011748F" w:rsidRDefault="0011748F" w:rsidP="00862193">
      <w:pPr>
        <w:rPr>
          <w:rFonts w:ascii="Arial" w:hAnsi="Arial" w:cs="Arial"/>
          <w:sz w:val="22"/>
          <w:szCs w:val="22"/>
          <w:lang w:val="pl-PL"/>
        </w:rPr>
      </w:pPr>
      <w:r w:rsidRPr="003134E9">
        <w:rPr>
          <w:rFonts w:ascii="Arial" w:hAnsi="Arial" w:cs="Arial"/>
          <w:sz w:val="22"/>
          <w:szCs w:val="22"/>
          <w:lang w:val="pl-PL"/>
        </w:rPr>
        <w:t xml:space="preserve">Niektóre elementy usług komercyjnych Ford Pro zostały już wprowadzone i są obecnie rozwijane w Europie, między innymi niedawno uruchomione programy Ford </w:t>
      </w:r>
      <w:proofErr w:type="spellStart"/>
      <w:r w:rsidRPr="003134E9">
        <w:rPr>
          <w:rFonts w:ascii="Arial" w:hAnsi="Arial" w:cs="Arial"/>
          <w:sz w:val="22"/>
          <w:szCs w:val="22"/>
          <w:lang w:val="pl-PL"/>
        </w:rPr>
        <w:t>Fleet</w:t>
      </w:r>
      <w:proofErr w:type="spellEnd"/>
      <w:r w:rsidRPr="003134E9">
        <w:rPr>
          <w:rFonts w:ascii="Arial" w:hAnsi="Arial" w:cs="Arial"/>
          <w:sz w:val="22"/>
          <w:szCs w:val="22"/>
          <w:lang w:val="pl-PL"/>
        </w:rPr>
        <w:t xml:space="preserve"> Management i Ford Pro </w:t>
      </w:r>
      <w:proofErr w:type="spellStart"/>
      <w:r w:rsidRPr="003134E9">
        <w:rPr>
          <w:rFonts w:ascii="Arial" w:hAnsi="Arial" w:cs="Arial"/>
          <w:sz w:val="22"/>
          <w:szCs w:val="22"/>
          <w:lang w:val="pl-PL"/>
        </w:rPr>
        <w:t>Liive</w:t>
      </w:r>
      <w:proofErr w:type="spellEnd"/>
      <w:r w:rsidRPr="003134E9">
        <w:rPr>
          <w:rFonts w:ascii="Arial" w:hAnsi="Arial" w:cs="Arial"/>
          <w:sz w:val="22"/>
          <w:szCs w:val="22"/>
          <w:lang w:val="pl-PL"/>
        </w:rPr>
        <w:t>. Ten drugi, to system poprawy dyspozycyjności pojazdów oparty na systemach łączności, który ma ograniczyć przestoje we flotach klientów nawet o 60%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17A882B5" w14:textId="77777777" w:rsidR="00F73698" w:rsidRDefault="00F73698" w:rsidP="00862193">
      <w:pPr>
        <w:rPr>
          <w:rFonts w:ascii="Arial" w:hAnsi="Arial" w:cs="Arial"/>
          <w:sz w:val="22"/>
          <w:szCs w:val="22"/>
          <w:lang w:val="pl-PL"/>
        </w:rPr>
      </w:pPr>
    </w:p>
    <w:p w14:paraId="3F24F8AE" w14:textId="7DE5A552" w:rsidR="00363D59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Oprócz oczekiwanych korzyści dla </w:t>
      </w:r>
      <w:r w:rsidR="00363D59">
        <w:rPr>
          <w:rFonts w:ascii="Arial" w:hAnsi="Arial" w:cs="Arial"/>
          <w:sz w:val="22"/>
          <w:szCs w:val="22"/>
          <w:lang w:val="pl-PL"/>
        </w:rPr>
        <w:t>klientów</w:t>
      </w:r>
      <w:r>
        <w:rPr>
          <w:rFonts w:ascii="Arial" w:hAnsi="Arial" w:cs="Arial"/>
          <w:sz w:val="22"/>
          <w:szCs w:val="22"/>
          <w:lang w:val="pl-PL"/>
        </w:rPr>
        <w:t xml:space="preserve">, Ford Pro </w:t>
      </w:r>
      <w:r w:rsidR="00363D59" w:rsidRPr="003134E9">
        <w:rPr>
          <w:rFonts w:ascii="Arial" w:hAnsi="Arial" w:cs="Arial"/>
          <w:sz w:val="22"/>
          <w:szCs w:val="22"/>
          <w:lang w:val="pl-PL"/>
        </w:rPr>
        <w:t>ma również duże ambicje przysłużenia się samej firmie Ford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F73698">
        <w:rPr>
          <w:rFonts w:ascii="Arial" w:hAnsi="Arial" w:cs="Arial"/>
          <w:sz w:val="22"/>
          <w:szCs w:val="22"/>
          <w:lang w:val="pl-PL"/>
        </w:rPr>
        <w:t xml:space="preserve"> </w:t>
      </w:r>
      <w:r w:rsidR="00363D59" w:rsidRPr="003134E9">
        <w:rPr>
          <w:rFonts w:ascii="Arial" w:hAnsi="Arial" w:cs="Arial"/>
          <w:sz w:val="22"/>
          <w:szCs w:val="22"/>
          <w:lang w:val="pl-PL"/>
        </w:rPr>
        <w:t>Firma przewiduje, że jej rosnące możliwości i atrakcyjność oferty wygenerują do 2025 roku 45 miliardów dolarów rocznego przychodu ze sprzedaży samochodów, urządzeń wspomagających oraz nowych usług, przy 27 miliardach dolarów osiągniętych w 2019 roku.  W Ameryce Północnej udział Forda w sprzedaży dużych samochodów ciężarowych i dostawczych klasy 1 do klasy 7 przekracza obecnie 40%. W Europie marka Ford jest liderem na rynku pojazdów użytkowych nieprzerwanie od sześciu lat.</w:t>
      </w:r>
    </w:p>
    <w:p w14:paraId="7F1B7EFF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5CE3E875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Więcej informacji można znaleźć na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  <w:lang w:val="pl-PL"/>
          </w:rPr>
          <w:t>fordpro.com</w:t>
        </w:r>
      </w:hyperlink>
      <w:r>
        <w:rPr>
          <w:rFonts w:ascii="Arial" w:hAnsi="Arial" w:cs="Arial"/>
          <w:sz w:val="22"/>
          <w:szCs w:val="22"/>
          <w:lang w:val="pl-PL"/>
        </w:rPr>
        <w:t>.</w:t>
      </w:r>
    </w:p>
    <w:p w14:paraId="2E59B908" w14:textId="77777777" w:rsidR="00862193" w:rsidRDefault="00862193" w:rsidP="00862193">
      <w:pPr>
        <w:rPr>
          <w:rFonts w:ascii="Arial" w:hAnsi="Arial" w:cs="Arial"/>
          <w:sz w:val="22"/>
          <w:szCs w:val="22"/>
          <w:lang w:val="pl-PL"/>
        </w:rPr>
      </w:pP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2" w:name="_Hlk38031302"/>
      <w:bookmarkEnd w:id="2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9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862193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4C51" w14:textId="77777777" w:rsidR="008B46B3" w:rsidRDefault="008B46B3">
      <w:r>
        <w:separator/>
      </w:r>
    </w:p>
  </w:endnote>
  <w:endnote w:type="continuationSeparator" w:id="0">
    <w:p w14:paraId="2CA585FF" w14:textId="77777777" w:rsidR="008B46B3" w:rsidRDefault="008B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HelveticaNeueLTPro-BdEx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u9spgEAAEADAAAOAAAAZHJzL2Uyb0RvYy54bWysUsFu2zAMvQ/YPwi6L3IypMiMOEW3IrsM&#13;&#10;27BuH8DIUixMEgVJjZ2/HyWnabHdhvogi+TTIx/J7e3kLDupmAz6ji8XDWfKS+yNP3b818/9uw1n&#13;&#10;KYPvwaJXHT+rxG93b99sx9CqFQ5oexUZkfjUjqHjQ86hFSLJQTlICwzKU1BjdJDJjEfRRxiJ3Vmx&#13;&#10;apobMWLsQ0SpUiLv/Rzku8qvtZL5m9ZJZWY7TrXlesZ6HsopdltojxHCYOSlDPiPKhwYT0mvVPeQ&#13;&#10;gT1G8w+VMzJiQp0XEp1ArY1UVQOpWTZ/qXkYIKiqhZqTwrVN6fVo5dfT98hMT7NbcubB0Yx+gPsN&#13;&#10;70trxpBaQjwEwuTpI04Ee/InchbFk46u/EkLozg1+XxtrJoyk+S82aw3FJAUWTUf1uvCIZ6fhpjy&#13;&#10;Z4WOlUvHI02tNhNOX1KeoU+QkimhNf3eWFuNeDx8spGdgCa8r9/81oYBZm+dMqVLM7SmfsEhispZ&#13;&#10;Tbnl6TBdpB+wP5Ny8HJA2pm5KI93jxm1qYWVBzOKWItBY6r8l5Uqe/DSrqjnxd/9AQAA//8DAFBL&#13;&#10;AwQUAAYACAAAACEAhOHDt9wAAAAHAQAADwAAAGRycy9kb3ducmV2LnhtbEyPQUvDQBCF74L/YRnB&#13;&#10;i9iNVSSk2RSpehBUMNr7JDtNUrOzIbtt4793ctLLwMxj3vtevp5cr440hs6zgZtFAoq49rbjxsDX&#13;&#10;5/N1CipEZIu9ZzLwQwHWxflZjpn1J/6gYxkbJSYcMjTQxjhkWoe6JYdh4Qdi0XZ+dBhlHRttRzyJ&#13;&#10;uev1MknutcOOJaHFgTYt1d/lwUnu05QO2+p1s38pr6r98p27t5SNubyYHlcyHlagIk3x7wPmDsIP&#13;&#10;hYBV/sA2qN6AtInzVc1aIlUqA7d3oItc/+cvfgEAAP//AwBQSwECLQAUAAYACAAAACEAtoM4kv4A&#13;&#10;AADhAQAAEwAAAAAAAAAAAAAAAAAAAAAAW0NvbnRlbnRfVHlwZXNdLnhtbFBLAQItABQABgAIAAAA&#13;&#10;IQA4/SH/1gAAAJQBAAALAAAAAAAAAAAAAAAAAC8BAABfcmVscy8ucmVsc1BLAQItABQABgAIAAAA&#13;&#10;IQDdDu9spgEAAEADAAAOAAAAAAAAAAAAAAAAAC4CAABkcnMvZTJvRG9jLnhtbFBLAQItABQABgAI&#13;&#10;AAAAIQCE4cO33AAAAAcBAAAPAAAAAAAAAAAAAAAAAAAEAABkcnMvZG93bnJldi54bWxQSwUGAAAA&#13;&#10;AAQABADzAAAACQUAAAAA&#13;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86219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3751" w14:textId="77777777" w:rsidR="008B46B3" w:rsidRDefault="008B46B3">
      <w:r>
        <w:separator/>
      </w:r>
    </w:p>
  </w:footnote>
  <w:footnote w:type="continuationSeparator" w:id="0">
    <w:p w14:paraId="45A2F2E4" w14:textId="77777777" w:rsidR="008B46B3" w:rsidRDefault="008B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Se6FwIAADAEAAAOAAAAZHJzL2Uyb0RvYy54bWysU8tu2zAQvBfoPxC817JsJAgEy0FqI0WA&#13;&#10;9AEk/QCaokzCFJdd0pbcr++Ssp2kPRQoeiGWr+HM7HBxO3SWHRQGA67m5WTKmXISGuO2Nf/+fP/h&#13;&#10;hrMQhWuEBadqflSB3y7fv1v0vlIz0GAbhYxAXKh6X3Mdo6+KIkitOhEm4JWjzRawE5GmuC0aFD2h&#13;&#10;d7aYTafXRQ/YeASpQqDV9bjJlxm/bZWMX9s2qMhszYlbzCPmcZPGYrkQ1RaF10aeaIh/YNEJ4+jR&#13;&#10;C9RaRMH2aP6A6oxECNDGiYSugLY1UmUNpKac/qbmSQuvshYyJ/iLTeH/wcovh2/ITFPzOWdOdNSi&#13;&#10;ZzVE9hEGdpUVaWvcbmWN3J3eJ/f+3qVR2RrkvlMujq1CZUWknARtfOAMq/QsPjRl6kLR+1BlNql3&#13;&#10;uXzyRC0ORIWSlbkE/whyF5iDlRZuq+4QoddKNOTIG5R0dcQJCWTTf4aGpIl9hAw0tNildhFNRuiU&#13;&#10;jOMlDUm+pMWb+byc0Y6kravyprzOaSlEdb7sMcRPCjqWClJCYcvg4vAYYpIkqvOR9JaDe2NtDpx1&#13;&#10;bxboYFrJFiS+I/M4bIbcmawsebKB5khqEMYY07ejQgP+5KynCNc8/NgLVJzZB0eOpLyfCzwXm3Mh&#13;&#10;nKSrNY+cjeUqjv9i79FsNSGPnju4I9dakxW9sDjRpVhmoacvlHL/ep5PvXz05S8AAAD//wMAUEsD&#13;&#10;BBQABgAIAAAAIQCeWR0x5AAAAA4BAAAPAAAAZHJzL2Rvd25yZXYueG1sTI/NTsMwEITvSLyDtUjc&#13;&#10;qJMAbUnjVLSIQyVA6s8DuPESB/wT2W6bvn23J7istPpmZ2eq+WANO2KInXcC8lEGDF3jVedaAbvt&#13;&#10;+8MUWEzSKWm8QwFnjDCvb28qWSp/cms8blLLyMTFUgrQKfUl57HRaGUc+R4dsW8frEy0hparIE9k&#13;&#10;bg0vsmzMrewcfdCyx6XG5ndzsAI+F/pLG/yYNNuf9SqcnxfDcqeFuL8b3mY0XmfAEg7p7wKuHSg/&#13;&#10;1BRs7w9ORWYETF/yJ5IKKHJgV54VxRjYnsjjBHhd8f816gsAAAD//wMAUEsDBBQABgAIAAAAIQAQ&#13;&#10;xcGd0AAAAEQBAAAZAAAAZHJzL19yZWxzL2Uyb0RvYy54bWwucmVsc4TPsWoDMQwG4L3QdzDae750&#13;&#10;KKWcL0sSyNClpA9gbN2diS0ZW2mTt4+XlAYKHcUvfT8a1ucU1ReWGpgMrLoeFJJjH2g28HnYPb2C&#13;&#10;qmLJ28iEBi5YYT0+PgwfGK20o7qEXFVTqBpYRPKb1tUtmGztOCO1ZOKSrLSxzDpbd7Qz6ue+f9Hl&#13;&#10;twHjnan23kDZ+xWowyW35v9tnqbgcMPulJDkjwq9NKnEQMeG2jKj/LDyHUSwdI6T3nHx29Nt5Z19&#13;&#10;a9+eW0o2gh4Hfff7eAUAAP//AwBQSwECLQAUAAYACAAAACEAtoM4kv4AAADhAQAAEwAAAAAAAAAA&#13;&#10;AAAAAAAAAAAAW0NvbnRlbnRfVHlwZXNdLnhtbFBLAQItABQABgAIAAAAIQA4/SH/1gAAAJQBAAAL&#13;&#10;AAAAAAAAAAAAAAAAAC8BAABfcmVscy8ucmVsc1BLAQItABQABgAIAAAAIQBB0Se6FwIAADAEAAAO&#13;&#10;AAAAAAAAAAAAAAAAAC4CAABkcnMvZTJvRG9jLnhtbFBLAQItABQABgAIAAAAIQCeWR0x5AAAAA4B&#13;&#10;AAAPAAAAAAAAAAAAAAAAAHEEAABkcnMvZG93bnJldi54bWxQSwECLQAUAAYACAAAACEAEMXBndAA&#13;&#10;AABEAQAAGQAAAAAAAAAAAAAAAACCBQAAZHJzL19yZWxzL2Uyb0RvYy54bWwucmVsc1BLBQYAAAAA&#13;&#10;BQAFADoBAACJBgAAAAA=&#13;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BB7GQIAADEEAAAOAAAAZHJzL2Uyb0RvYy54bWysU9tuEzEQfUfiHyy/k90EUugqm6okKqpU&#13;&#10;ClLLBzheb9aK7TFjJ7vl6xl7k5TCAxLixRrfzpwzc2ZxNVjDDgqDBlfz6aTkTDkJjXbbmn97vHnz&#13;&#10;gbMQhWuEAadq/qQCv1q+frXofaVm0IFpFDICcaHqfc27GH1VFEF2yoowAa8cXbaAVkTa4rZoUPSE&#13;&#10;bk0xK8uLogdsPIJUIdDperzky4zftkrGL20bVGSm5sQt5hXzuklrsVyIaovCd1oeaYh/YGGFdpT0&#13;&#10;DLUWUbA96j+grJYIAdo4kWALaFstVdZAaqblb2oeOuFV1kLFCf5cpvD/YOX94Ssy3dR8xpkTllr0&#13;&#10;qIbIPsLA3mVFndFutzJa7o75qXp/79KobA1yb5WLY6tQGRHJJ6HTPnCGVUqLt800daHofagym9S7&#13;&#10;HD54ohYHokLOylyCvwO5C8zBqhNuq64Roe+UaKgiL1DS1xEnJJBN/xkakib2ETLQ0KJN7SKajNDJ&#13;&#10;GU9nNyT5MqUs31+8nc05k3Q3Ly8vy3kmKqrTb48hflJgWQpICrkto4vDXYhJk6hOT1IyBzfamOw4&#13;&#10;414c0MN0kmuQCI/U47AZjq2hT6koG2ieSA7C6GOaOwo6wB+c9eThmofve4GKM3PrqCTJ8KcAT8Hm&#13;&#10;FAgn6WvNI2djuIrjYOw96m1HyGPRHVxT2VqdFT2zONIlX2ahxxlKxv91n189T/ryJwAAAP//AwBQ&#13;&#10;SwMEFAAGAAgAAAAhAFKHH5TjAAAADQEAAA8AAABkcnMvZG93bnJldi54bWxMj81OwzAQhO9IvIO1&#13;&#10;SNyoU6BNlMapaBEHJEDqzwO48RIH7HUUu2369iwnuKx2NZrZ+arl6J044RC7QAqmkwwEUhNMR62C&#13;&#10;/e7lrgARkyajXSBUcMEIy/r6qtKlCWfa4GmbWsEhFEutwKbUl1LGxqLXcRJ6JNY+w+B14nNopRn0&#13;&#10;mcO9k/dZNpded8QfrO5xbbH53h69gveV/bAO3/Jm97V5HS6z1bjeW6Vub8bnBY+nBYiEY/pzwC8D&#13;&#10;94eaix3CkUwUTkE+zRkoKXjIQbBeFPMZiAMvjxnIupL/KeofAAAA//8DAFBLAwQUAAYACAAAACEA&#13;&#10;8b/r+NgAAABOAQAAGQAAAGRycy9fcmVscy9lMm9Eb2MueG1sLnJlbHOE0L1OxDAMAOAdiXeIvNP0&#13;&#10;GBBCbW85kG5gQccDhMRto0vsKEnp9e3xAuIkJEbL9uefbn+JQX1iLp6ph13TgkKy7DxNPbyfXu4e&#13;&#10;QZVqyJnAhD1sWGA/3N50bxhMlaYy+1SUKFR6mGtNT1oXO2M0peGEJJmRczRVwjzpZOzZTKjv2/ZB&#13;&#10;598GDFemOroe8tHtQJ22JJP/t3kcvcUD2yUi1T9G6FmkHDydBTV5wvrDruvabLzU5QMby1HLzo5H&#13;&#10;XLLc8F38yk72eL5UzGQC6KHTV18YvgAAAP//AwBQSwECLQAUAAYACAAAACEAtoM4kv4AAADhAQAA&#13;&#10;EwAAAAAAAAAAAAAAAAAAAAAAW0NvbnRlbnRfVHlwZXNdLnhtbFBLAQItABQABgAIAAAAIQA4/SH/&#13;&#10;1gAAAJQBAAALAAAAAAAAAAAAAAAAAC8BAABfcmVscy8ucmVsc1BLAQItABQABgAIAAAAIQAgUBB7&#13;&#10;GQIAADEEAAAOAAAAAAAAAAAAAAAAAC4CAABkcnMvZTJvRG9jLnhtbFBLAQItABQABgAIAAAAIQBS&#13;&#10;hx+U4wAAAA0BAAAPAAAAAAAAAAAAAAAAAHMEAABkcnMvZG93bnJldi54bWxQSwECLQAUAAYACAAA&#13;&#10;ACEA8b/r+NgAAABOAQAAGQAAAAAAAAAAAAAAAACDBQAAZHJzL19yZWxzL2Uyb0RvYy54bWwucmVs&#13;&#10;c1BLBQYAAAAABQAFADoBAACSBgAAAAA=&#13;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A0ABA"/>
    <w:multiLevelType w:val="hybridMultilevel"/>
    <w:tmpl w:val="63A89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1"/>
    <w:multiLevelType w:val="hybridMultilevel"/>
    <w:tmpl w:val="5F26CB46"/>
    <w:lvl w:ilvl="0" w:tplc="31C60398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63284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E133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708486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D7323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46E0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5922C7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BD65E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CEEB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00020"/>
    <w:multiLevelType w:val="hybridMultilevel"/>
    <w:tmpl w:val="7DB0557C"/>
    <w:lvl w:ilvl="0" w:tplc="BE3C8E16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845AD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C3C5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1F8F4C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E220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C2F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E761ED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2F06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05A5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25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1"/>
  </w:num>
  <w:num w:numId="16">
    <w:abstractNumId w:val="9"/>
  </w:num>
  <w:num w:numId="17">
    <w:abstractNumId w:val="24"/>
  </w:num>
  <w:num w:numId="18">
    <w:abstractNumId w:val="26"/>
  </w:num>
  <w:num w:numId="19">
    <w:abstractNumId w:val="0"/>
  </w:num>
  <w:num w:numId="20">
    <w:abstractNumId w:val="28"/>
  </w:num>
  <w:num w:numId="21">
    <w:abstractNumId w:val="16"/>
  </w:num>
  <w:num w:numId="22">
    <w:abstractNumId w:val="10"/>
  </w:num>
  <w:num w:numId="23">
    <w:abstractNumId w:val="23"/>
  </w:num>
  <w:num w:numId="24">
    <w:abstractNumId w:val="27"/>
  </w:num>
  <w:num w:numId="25">
    <w:abstractNumId w:val="12"/>
  </w:num>
  <w:num w:numId="26">
    <w:abstractNumId w:val="14"/>
  </w:num>
  <w:num w:numId="27">
    <w:abstractNumId w:val="13"/>
  </w:num>
  <w:num w:numId="28">
    <w:abstractNumId w:val="15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1748F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1F34FF"/>
    <w:rsid w:val="0020173F"/>
    <w:rsid w:val="002160FA"/>
    <w:rsid w:val="00216FB8"/>
    <w:rsid w:val="00220308"/>
    <w:rsid w:val="00226765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3D5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67546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2193"/>
    <w:rsid w:val="008643FC"/>
    <w:rsid w:val="00870ADC"/>
    <w:rsid w:val="008842C4"/>
    <w:rsid w:val="00890385"/>
    <w:rsid w:val="008A13D2"/>
    <w:rsid w:val="008A5AD6"/>
    <w:rsid w:val="008B0E48"/>
    <w:rsid w:val="008B46B3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D20AC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37CC0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20F33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4DBF"/>
    <w:rsid w:val="00F45F0A"/>
    <w:rsid w:val="00F45F2D"/>
    <w:rsid w:val="00F475CD"/>
    <w:rsid w:val="00F57E03"/>
    <w:rsid w:val="00F61E0C"/>
    <w:rsid w:val="00F73698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ford.com/en-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orate.ford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41EE-4B42-4312-8E20-C8E5A1C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1142</Words>
  <Characters>7427</Characters>
  <Application>Microsoft Office Word</Application>
  <DocSecurity>0</DocSecurity>
  <Lines>151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Stefaniak</cp:lastModifiedBy>
  <cp:revision>5</cp:revision>
  <cp:lastPrinted>2021-02-12T09:18:00Z</cp:lastPrinted>
  <dcterms:created xsi:type="dcterms:W3CDTF">2021-06-25T14:17:00Z</dcterms:created>
  <dcterms:modified xsi:type="dcterms:W3CDTF">2021-07-20T08:02:00Z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