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23EC" w14:textId="1C468C43" w:rsidR="00976377" w:rsidRPr="00976377" w:rsidRDefault="00976377" w:rsidP="00976377">
      <w:pPr>
        <w:rPr>
          <w:rFonts w:ascii="Arial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 w:rsidRPr="00976377">
        <w:rPr>
          <w:rFonts w:ascii="Arial" w:hAnsi="Arial" w:cs="Arial"/>
          <w:b/>
          <w:sz w:val="32"/>
          <w:szCs w:val="32"/>
          <w:lang w:val="pl-PL"/>
        </w:rPr>
        <w:t xml:space="preserve">Nowe </w:t>
      </w:r>
      <w:proofErr w:type="spellStart"/>
      <w:r w:rsidRPr="00976377">
        <w:rPr>
          <w:rFonts w:ascii="Arial" w:hAnsi="Arial" w:cs="Arial"/>
          <w:b/>
          <w:sz w:val="32"/>
          <w:szCs w:val="32"/>
          <w:lang w:val="pl-PL"/>
        </w:rPr>
        <w:t>Rangery</w:t>
      </w:r>
      <w:proofErr w:type="spellEnd"/>
      <w:r w:rsidRPr="00976377">
        <w:rPr>
          <w:rFonts w:ascii="Arial" w:hAnsi="Arial" w:cs="Arial"/>
          <w:b/>
          <w:sz w:val="32"/>
          <w:szCs w:val="32"/>
          <w:lang w:val="pl-PL"/>
        </w:rPr>
        <w:t xml:space="preserve"> </w:t>
      </w:r>
      <w:r>
        <w:rPr>
          <w:rFonts w:ascii="Arial" w:hAnsi="Arial" w:cs="Arial"/>
          <w:b/>
          <w:sz w:val="32"/>
          <w:szCs w:val="32"/>
          <w:lang w:val="pl-PL"/>
        </w:rPr>
        <w:t>ze specjalną zabudową skrzyni ładunkowej dla wymagającego klienta flotowego</w:t>
      </w:r>
      <w:r w:rsidR="00A63A77">
        <w:rPr>
          <w:rFonts w:ascii="Arial" w:hAnsi="Arial" w:cs="Arial"/>
          <w:b/>
          <w:sz w:val="32"/>
          <w:szCs w:val="32"/>
          <w:lang w:val="pl-PL"/>
        </w:rPr>
        <w:t>.</w:t>
      </w:r>
    </w:p>
    <w:p w14:paraId="073413E4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73EBCEBE" w14:textId="3651FFC1" w:rsidR="00976377" w:rsidRDefault="00976377" w:rsidP="00976377">
      <w:pPr>
        <w:pStyle w:val="ListParagraph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Polskie Górnictwo Naftowe i Gazownictwo zwiększyło flotę o trzynaście nowych Fordów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wersji XLT.</w:t>
      </w:r>
    </w:p>
    <w:p w14:paraId="02CD5061" w14:textId="77777777" w:rsidR="00976377" w:rsidRPr="00976377" w:rsidRDefault="00976377" w:rsidP="00976377">
      <w:pPr>
        <w:pStyle w:val="ListParagraph"/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386742B7" w14:textId="199154BC" w:rsidR="00976377" w:rsidRDefault="00976377" w:rsidP="00976377">
      <w:pPr>
        <w:pStyle w:val="ListParagraph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>Wszystkie wyposażone są w specjalne zabudowy ułatwiające pracę, także w najcięższych warunkach.</w:t>
      </w:r>
    </w:p>
    <w:p w14:paraId="776C6C50" w14:textId="77777777" w:rsidR="00976377" w:rsidRPr="00976377" w:rsidRDefault="00976377" w:rsidP="00976377">
      <w:p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6C772B56" w14:textId="77777777" w:rsidR="00976377" w:rsidRPr="00976377" w:rsidRDefault="00976377" w:rsidP="00976377">
      <w:pPr>
        <w:pStyle w:val="ListParagraph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od 2015 roku jest najlepiej sprzedającym się pick-upem w Europie, zdobywając zaufanie kolejnych klientów.</w:t>
      </w:r>
    </w:p>
    <w:p w14:paraId="32C67FAC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041CC606" w14:textId="23FE101D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sz w:val="22"/>
          <w:szCs w:val="22"/>
          <w:lang w:val="pl-PL"/>
        </w:rPr>
        <w:t xml:space="preserve">WARSZAWA, </w:t>
      </w:r>
      <w:r w:rsidR="00A63A77">
        <w:rPr>
          <w:rFonts w:ascii="Arial" w:hAnsi="Arial" w:cs="Arial"/>
          <w:b/>
          <w:bCs/>
          <w:sz w:val="22"/>
          <w:szCs w:val="22"/>
          <w:lang w:val="pl-PL"/>
        </w:rPr>
        <w:t>23</w:t>
      </w:r>
      <w:bookmarkStart w:id="2" w:name="_GoBack"/>
      <w:bookmarkEnd w:id="2"/>
      <w:r w:rsidRPr="00976377">
        <w:rPr>
          <w:rFonts w:ascii="Arial" w:hAnsi="Arial" w:cs="Arial"/>
          <w:b/>
          <w:bCs/>
          <w:sz w:val="22"/>
          <w:szCs w:val="22"/>
          <w:lang w:val="pl-PL"/>
        </w:rPr>
        <w:t xml:space="preserve"> czerwca 2021 roku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Polskie Górnictwo Naftowe i Gazownictwo powiększyło swoją flotę o 13 </w:t>
      </w:r>
      <w:r>
        <w:rPr>
          <w:rFonts w:ascii="Arial" w:hAnsi="Arial" w:cs="Arial"/>
          <w:sz w:val="22"/>
          <w:szCs w:val="22"/>
          <w:lang w:val="pl-PL"/>
        </w:rPr>
        <w:t xml:space="preserve">nowych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Fordów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wersji XLT ze specjalną zabudową skrzyni ładunkowej. To już kolejna tego typu umowa. Samochody dostarczyła firma Bemo Motors, a zabudowała Auto Galeria z Gorzowa Wielkopolskiego.</w:t>
      </w:r>
    </w:p>
    <w:p w14:paraId="5EE5942B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2872141C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r w:rsidRPr="00976377">
        <w:rPr>
          <w:rFonts w:ascii="Arial" w:hAnsi="Arial" w:cs="Arial"/>
          <w:b/>
          <w:sz w:val="22"/>
          <w:szCs w:val="22"/>
          <w:lang w:val="pl-PL"/>
        </w:rPr>
        <w:t>Przystosowane do najcięższych warunków</w:t>
      </w:r>
    </w:p>
    <w:p w14:paraId="3B7A2B85" w14:textId="4E7BBC34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Wszystkie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Rangery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będące częścią zamówienia napędzane są silnikiem wysokoprężnym 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2.0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 mocy 170 KM (125 kW). Jednostka ta generuje maksymalny moment obrotowy 420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, który zapewnia bezproblemowy przewóz nawet ciężkich ładunków. </w:t>
      </w:r>
    </w:p>
    <w:p w14:paraId="58E473B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4F39257A" w14:textId="449A016C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Silnik wykorzystuje dwie turbosprężarki, pracujące szeregowo przy niższych prędkościach obrotowych, dla zwiększenia momentu obrotowego oraz szybkości reakcji na działania kierowcy. Natomiast przy wyższych prędkościach obrotowych silnika, odcinana jest mniejsza turbosprężarka, a większa odpowiada za szybszy przyrost mocy maksymalnej. Układ współpracuje z sześciobiegową manualną przekładnią. </w:t>
      </w:r>
    </w:p>
    <w:p w14:paraId="5E5F90E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13472173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Samochód wyposażony jest w napęd na cztery koła z przełącznikiem na konsoli środkowej, który umożliwia kierowcy wybór napędu podczas jazdy – na tylne albo na wszystkie koła. Rzecz jasna funkcja ta szczególnie przydaje się podczas jazdy w zmieniających się warunkach. Możliwości terenowe pojazdu poprawia reduktor. </w:t>
      </w:r>
    </w:p>
    <w:p w14:paraId="2ADAF45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2CDCBD52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Rangery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dla PGNiG otrzymały też stalowe felgi o rozmiarze 16 cali oraz terenowe opony Radar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Renegade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A/T5 z bieżnikiem gwarantującym wysoką przyczepność nawet na najgorszej jakości drogach. Wszystkie zamówione samochody posiadają wytrzymałe tylne zawieszenie na resorach piórowych. </w:t>
      </w:r>
    </w:p>
    <w:p w14:paraId="2B57B51A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5ECB76C4" w14:textId="155E12CE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>Pojazdy wykonano w dwóch rodzajach zabudów. Dziewięć z nich jest wyposażon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 w specjalną zabudowę skrzyni ładunkowej typu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hardtop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z trzema otwieranymi pokrywami. </w:t>
      </w:r>
    </w:p>
    <w:p w14:paraId="3E98329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6FDAA313" w14:textId="283B411F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Cztery natomiast wyposażono w podnoszoną pokrywę paki, wykonaną z wysokiej jakości ABS. Rozwiązanie to ma wiele zalet – pozwala zoptymalizować miejsce na skrzyni, a także chronić sprzęt przed deszczem przy jednoczesnej bardzo niskiej wadze, </w:t>
      </w:r>
      <w:r>
        <w:rPr>
          <w:rFonts w:ascii="Arial" w:hAnsi="Arial" w:cs="Arial"/>
          <w:sz w:val="22"/>
          <w:szCs w:val="22"/>
          <w:lang w:val="pl-PL"/>
        </w:rPr>
        <w:t xml:space="preserve">wysokiej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wytrzymałości i aerodynamicznej konstrukcji. Posiada ona niezależną lampkę oraz sterownik, dzięki któremu </w:t>
      </w:r>
      <w:r w:rsidRPr="00976377">
        <w:rPr>
          <w:rFonts w:ascii="Arial" w:hAnsi="Arial" w:cs="Arial"/>
          <w:sz w:val="22"/>
          <w:szCs w:val="22"/>
          <w:lang w:val="pl-PL"/>
        </w:rPr>
        <w:lastRenderedPageBreak/>
        <w:t xml:space="preserve">można ustawiać ją w kilku pozycjach. Obie konstrukcje dostarczyła renomowana marka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Aeroklas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>.</w:t>
      </w:r>
    </w:p>
    <w:p w14:paraId="31AEFB47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20EA9183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Wszystkie samochody są wyposażone także w hak holowniczy znanej firmy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Brink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oraz złącze elektryczne przyczepy.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tym wariancie ma zdolność holowania przyczepy o masie do 3500 kg, czyli przewożenia dodatkowego sprzętu w razie konieczności. </w:t>
      </w:r>
    </w:p>
    <w:p w14:paraId="61DD0356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76D5F5A5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r w:rsidRPr="00976377">
        <w:rPr>
          <w:rFonts w:ascii="Arial" w:hAnsi="Arial" w:cs="Arial"/>
          <w:b/>
          <w:sz w:val="22"/>
          <w:szCs w:val="22"/>
          <w:lang w:val="pl-PL"/>
        </w:rPr>
        <w:t>To nie pierwszy taki projekt</w:t>
      </w:r>
    </w:p>
    <w:p w14:paraId="093DC15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Zabudowami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zajęła się </w:t>
      </w:r>
      <w:hyperlink r:id="rId8" w:history="1">
        <w:r w:rsidRPr="00976377">
          <w:rPr>
            <w:rStyle w:val="Hyperlink"/>
            <w:rFonts w:ascii="Arial" w:hAnsi="Arial" w:cs="Arial"/>
            <w:sz w:val="22"/>
            <w:szCs w:val="22"/>
            <w:lang w:val="pl-PL"/>
          </w:rPr>
          <w:t>Auto Galeria z Gorzowa Wielkopolskiego</w:t>
        </w:r>
      </w:hyperlink>
      <w:r w:rsidRPr="00976377">
        <w:rPr>
          <w:rFonts w:ascii="Arial" w:hAnsi="Arial" w:cs="Arial"/>
          <w:sz w:val="22"/>
          <w:szCs w:val="22"/>
          <w:lang w:val="pl-PL"/>
        </w:rPr>
        <w:t xml:space="preserve">. To jedna z firm zabudowujących współpracujących z Fordem. Klienci współpracując z tymi podmiotami otrzymują produkty tworzone przez profesjonalistów z dostępem do specjalistycznej wiedzy Forda. Mają oni bowiem dostęp do szczegółowych instrukcji Forda dotyczących osprzętu oraz sposobu montażu. </w:t>
      </w:r>
    </w:p>
    <w:p w14:paraId="212FE188" w14:textId="605667C2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44EBE297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Dzięki bliskiej współpracy firmy mogą wykorzystać pełen potencjał samochodów jako bazy do modyfikacji. Wszystkie zmiany są objęte gwarancją odpowiadającą warunkom gwarancji firmowej, oferowanej w pojazdach Forda. </w:t>
      </w:r>
    </w:p>
    <w:p w14:paraId="28609FEF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1DE46EF0" w14:textId="13821F4B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-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to kultowy już pojazd. Jest idealnym kompanem dla osób pracujących w najtrudniejszych warunkach potrzebujących bezawaryjnego, świetnie wyposażonego i doskonale wyglądającego samochodu. Nasza oferta zabudów sprawia, że mogą oni przewozić swój specjalistyczny sprzęt </w:t>
      </w:r>
      <w:r w:rsidR="00536431">
        <w:rPr>
          <w:rFonts w:ascii="Arial" w:hAnsi="Arial" w:cs="Arial"/>
          <w:sz w:val="22"/>
          <w:szCs w:val="22"/>
          <w:lang w:val="pl-PL"/>
        </w:rPr>
        <w:t>w profesjonalny i bezpieczny sposób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 – powiedział Andrzej Medycki, </w:t>
      </w:r>
      <w:r w:rsidR="00536431">
        <w:rPr>
          <w:rFonts w:ascii="Arial" w:hAnsi="Arial" w:cs="Arial"/>
          <w:sz w:val="22"/>
          <w:szCs w:val="22"/>
          <w:lang w:val="pl-PL"/>
        </w:rPr>
        <w:t>d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yrektor </w:t>
      </w:r>
      <w:r w:rsidR="00536431">
        <w:rPr>
          <w:rFonts w:ascii="Arial" w:hAnsi="Arial" w:cs="Arial"/>
          <w:sz w:val="22"/>
          <w:szCs w:val="22"/>
          <w:lang w:val="pl-PL"/>
        </w:rPr>
        <w:t>z</w:t>
      </w:r>
      <w:r w:rsidRPr="00976377">
        <w:rPr>
          <w:rFonts w:ascii="Arial" w:hAnsi="Arial" w:cs="Arial"/>
          <w:sz w:val="22"/>
          <w:szCs w:val="22"/>
          <w:lang w:val="pl-PL"/>
        </w:rPr>
        <w:t>akładu Auto Galeria.</w:t>
      </w:r>
    </w:p>
    <w:p w14:paraId="5F80C23B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69A8317D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b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b/>
          <w:sz w:val="22"/>
          <w:szCs w:val="22"/>
          <w:lang w:val="pl-PL"/>
        </w:rPr>
        <w:t xml:space="preserve"> jest od dawna ceniony w Europie</w:t>
      </w:r>
    </w:p>
    <w:p w14:paraId="0F9D5813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Ford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Ranger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jest od 2015 roku najlepiej sprzedającym się w Europie pick-upem, w dodatku nagrodzonym tytułem International Pick-up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Award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2020. Wszystko dzięki niezawodności, świetnemu wyposażeniu, komfortowi jazdy oraz właściwościom terenowym.  </w:t>
      </w:r>
    </w:p>
    <w:p w14:paraId="22489BAF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 </w:t>
      </w:r>
    </w:p>
    <w:p w14:paraId="568946B0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W Polsce samochód również doskonale się sprzedaje. Jest zdecydowanym liderem w swoim segmencie, z udziałem przekraczającym 40%.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Ranger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w naszym kraju dostępny jest w czterech różnych wersjach i z trzema kabinami do wyboru.</w:t>
      </w:r>
    </w:p>
    <w:p w14:paraId="4CB4C4CC" w14:textId="6AE1E694" w:rsidR="00976377" w:rsidRPr="00536431" w:rsidRDefault="00536431" w:rsidP="00536431">
      <w:pPr>
        <w:suppressAutoHyphens w:val="0"/>
        <w:rPr>
          <w:color w:val="000000"/>
          <w:sz w:val="24"/>
          <w:lang w:val="pl-PL" w:eastAsia="pl-PL"/>
        </w:rPr>
      </w:pPr>
      <w:r w:rsidRPr="00536431">
        <w:rPr>
          <w:rFonts w:ascii="Calibri" w:hAnsi="Calibri" w:cs="Calibri"/>
          <w:color w:val="1F497D"/>
          <w:sz w:val="22"/>
          <w:szCs w:val="22"/>
          <w:lang w:val="pl-PL" w:eastAsia="pl-PL"/>
        </w:rPr>
        <w:t> </w:t>
      </w:r>
    </w:p>
    <w:p w14:paraId="4DEEA07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Jego gama silnikowa oferuje mocne jednostki stworzone do pracy w najtrudniejszych warunkach. Dodatkowo, samochód jest wyposażony także w wiele nowoczesnych technologii, które ułatwiają podróże i pracę. </w:t>
      </w:r>
    </w:p>
    <w:p w14:paraId="4ED8410B" w14:textId="6DD756DD" w:rsidR="00274226" w:rsidRPr="00976377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Pr="00976377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76377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Pr="00976377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Pr="00976377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Pr="00976377" w:rsidRDefault="007F7650" w:rsidP="007F7650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O Ford Motor Company</w:t>
      </w:r>
    </w:p>
    <w:p w14:paraId="561DD997" w14:textId="77777777" w:rsidR="007F7650" w:rsidRPr="00976377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Ford Motor Company z centralą w </w:t>
      </w:r>
      <w:proofErr w:type="spellStart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Dearborn</w:t>
      </w:r>
      <w:proofErr w:type="spellEnd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</w:t>
      </w:r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lastRenderedPageBreak/>
        <w:t xml:space="preserve">pojazdów skomunikowanych. Więcej informacji na temat Forda, produktów firmy oraz oddziału Ford Motor </w:t>
      </w:r>
      <w:proofErr w:type="spellStart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Credit</w:t>
      </w:r>
      <w:proofErr w:type="spellEnd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 Company na stronie </w:t>
      </w:r>
      <w:hyperlink r:id="rId9" w:history="1">
        <w:r w:rsidRPr="00976377">
          <w:rPr>
            <w:rStyle w:val="czeinternetowe"/>
            <w:rFonts w:ascii="Arial" w:hAnsi="Arial" w:cs="Arial"/>
            <w:i/>
            <w:iCs/>
            <w:sz w:val="22"/>
            <w:szCs w:val="22"/>
            <w:lang w:val="pl-PL"/>
          </w:rPr>
          <w:t>corporate.ford.com</w:t>
        </w:r>
      </w:hyperlink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.</w:t>
      </w:r>
    </w:p>
    <w:p w14:paraId="52315863" w14:textId="77777777" w:rsidR="007F7650" w:rsidRPr="00976377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Pr="00976377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Ford of Europe</w:t>
      </w:r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Company, usługi firmy Ford of Europe obejmują dział Ford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Customer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Service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Division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Pr="00976377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Pr="0097637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Pr="00976377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2"/>
          <w:szCs w:val="22"/>
          <w:lang w:val="pl-PL"/>
        </w:rPr>
      </w:pPr>
    </w:p>
    <w:p w14:paraId="1E2B8250" w14:textId="154FC5FC" w:rsidR="00F01506" w:rsidRPr="00976377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2"/>
          <w:szCs w:val="22"/>
          <w:lang w:val="pl-PL"/>
        </w:rPr>
      </w:pPr>
      <w:r w:rsidRPr="00976377">
        <w:rPr>
          <w:rFonts w:ascii="Arial" w:hAnsi="Arial" w:cs="Arial"/>
          <w:color w:val="333333"/>
          <w:sz w:val="22"/>
          <w:szCs w:val="22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:rsidRPr="00976377" w14:paraId="5A85FDA0" w14:textId="77777777" w:rsidTr="00F01506">
        <w:tc>
          <w:tcPr>
            <w:tcW w:w="1320" w:type="dxa"/>
            <w:hideMark/>
          </w:tcPr>
          <w:p w14:paraId="0632EF6A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F01506" w:rsidRPr="00A63A77" w14:paraId="1106E7AC" w14:textId="77777777" w:rsidTr="00F01506">
        <w:tc>
          <w:tcPr>
            <w:tcW w:w="1320" w:type="dxa"/>
          </w:tcPr>
          <w:p w14:paraId="615FBE29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F01506" w:rsidRPr="00976377" w14:paraId="1D95B584" w14:textId="77777777" w:rsidTr="00F01506">
        <w:tc>
          <w:tcPr>
            <w:tcW w:w="1320" w:type="dxa"/>
          </w:tcPr>
          <w:p w14:paraId="50F26B41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</w:tbl>
    <w:p w14:paraId="13614067" w14:textId="77777777" w:rsidR="00F01506" w:rsidRPr="00976377" w:rsidRDefault="00F01506" w:rsidP="00F01506">
      <w:pPr>
        <w:ind w:left="720" w:firstLine="720"/>
        <w:rPr>
          <w:rFonts w:ascii="Arial" w:hAnsi="Arial" w:cs="Arial"/>
          <w:sz w:val="22"/>
          <w:szCs w:val="22"/>
        </w:rPr>
      </w:pPr>
      <w:r w:rsidRPr="00976377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 w:rsidRPr="00976377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9A97" w14:textId="77777777" w:rsidR="00B941E0" w:rsidRDefault="00B941E0">
      <w:r>
        <w:separator/>
      </w:r>
    </w:p>
  </w:endnote>
  <w:endnote w:type="continuationSeparator" w:id="0">
    <w:p w14:paraId="1962158E" w14:textId="77777777" w:rsidR="00B941E0" w:rsidRDefault="00B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63A7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1AD8" w14:textId="77777777" w:rsidR="00B941E0" w:rsidRDefault="00B941E0">
      <w:r>
        <w:separator/>
      </w:r>
    </w:p>
  </w:footnote>
  <w:footnote w:type="continuationSeparator" w:id="0">
    <w:p w14:paraId="167D482D" w14:textId="77777777" w:rsidR="00B941E0" w:rsidRDefault="00B9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AF8ACD60"/>
    <w:lvl w:ilvl="0" w:tplc="CF22E84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36431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1B24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17A1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377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63A77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C1363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941E0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-zabudowy.pl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E020-2FE0-47AE-AA2D-01EC510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Golebiowski, Andrzej (A.)</cp:lastModifiedBy>
  <cp:revision>4</cp:revision>
  <cp:lastPrinted>2021-02-12T09:18:00Z</cp:lastPrinted>
  <dcterms:created xsi:type="dcterms:W3CDTF">2021-06-13T10:09:00Z</dcterms:created>
  <dcterms:modified xsi:type="dcterms:W3CDTF">2021-06-23T10:39:00Z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