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65C0" w14:textId="5F33D475" w:rsidR="00E63BD0" w:rsidRDefault="00E63BD0" w:rsidP="00E63BD0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Zróżnicowana oferta, nowoczesne modele i atrakcyjne ceny przyczyniły się do stabilnych zysków osiągniętych przez firmę Ford w pierwszym kwartale 2021 roku</w:t>
      </w:r>
      <w:r w:rsidR="00207C9F">
        <w:rPr>
          <w:rFonts w:ascii="Arial" w:eastAsiaTheme="majorEastAsia" w:hAnsi="Arial" w:cs="Arial"/>
          <w:b/>
          <w:sz w:val="32"/>
          <w:szCs w:val="32"/>
          <w:lang w:val="pl-PL" w:eastAsia="en-US"/>
        </w:rPr>
        <w:t>.</w:t>
      </w:r>
      <w:bookmarkStart w:id="2" w:name="_GoBack"/>
      <w:bookmarkEnd w:id="2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</w:t>
      </w:r>
    </w:p>
    <w:p w14:paraId="10981CAB" w14:textId="77777777" w:rsidR="00E63BD0" w:rsidRDefault="00E63BD0" w:rsidP="00E63BD0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</w:p>
    <w:p w14:paraId="05FE91A9" w14:textId="1AC6D02A" w:rsidR="00326548" w:rsidRDefault="00326548" w:rsidP="00E63BD0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Stabilny zysk netto po pierwszym kwartale 2021 roku na poziomie 3,3 miliarda dolarów, to najlepszy wynik dla kwartału otwierającego rok od 2011 roku.</w:t>
      </w:r>
    </w:p>
    <w:p w14:paraId="5D9B401F" w14:textId="77777777" w:rsidR="00326548" w:rsidRDefault="00326548" w:rsidP="00326548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36907C27" w14:textId="6756BF87" w:rsidR="00E63BD0" w:rsidRDefault="00E63BD0" w:rsidP="00E63BD0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Hybrydowe modele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i Puma, emocjonujący Mustang Mach 1 oraz elektryzujący Mustang Mach-E – mimo pandemii oferta Forda rośnie w siłę.</w:t>
      </w:r>
    </w:p>
    <w:p w14:paraId="4884D4B2" w14:textId="77777777" w:rsidR="00E63BD0" w:rsidRDefault="00E63BD0" w:rsidP="00E63BD0">
      <w:pPr>
        <w:rPr>
          <w:rFonts w:ascii="Arial" w:eastAsia="Arial" w:hAnsi="Arial" w:cs="Arial"/>
          <w:sz w:val="22"/>
          <w:szCs w:val="22"/>
          <w:lang w:val="pl-PL"/>
        </w:rPr>
      </w:pPr>
    </w:p>
    <w:p w14:paraId="2AE084E3" w14:textId="016CC0F8" w:rsidR="00E63BD0" w:rsidRDefault="00E63BD0" w:rsidP="00E63BD0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Udział marki Ford w rynku europejskim to 7,2%. To drugi światowy wynik, zaraz po 12,5% na rynku północnoamerykańskim.</w:t>
      </w:r>
    </w:p>
    <w:p w14:paraId="0256B23D" w14:textId="77777777" w:rsidR="00E63BD0" w:rsidRDefault="00E63BD0" w:rsidP="00E63BD0">
      <w:pPr>
        <w:pStyle w:val="ListParagraph"/>
        <w:rPr>
          <w:rFonts w:ascii="Arial" w:eastAsia="Arial" w:hAnsi="Arial" w:cs="Arial"/>
          <w:sz w:val="22"/>
          <w:szCs w:val="22"/>
          <w:lang w:val="pl-PL"/>
        </w:rPr>
      </w:pPr>
    </w:p>
    <w:p w14:paraId="5300835C" w14:textId="13A4CA25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29 kwietnia 2021 roku – </w:t>
      </w:r>
      <w:r w:rsidR="00326548" w:rsidRPr="00326548">
        <w:rPr>
          <w:rFonts w:ascii="Arial" w:hAnsi="Arial" w:cs="Arial"/>
          <w:bCs/>
          <w:sz w:val="22"/>
          <w:szCs w:val="22"/>
          <w:lang w:val="pl-PL"/>
        </w:rPr>
        <w:t xml:space="preserve">Poprawa działalności w </w:t>
      </w:r>
      <w:r w:rsidRPr="00326548">
        <w:rPr>
          <w:rFonts w:ascii="Arial" w:hAnsi="Arial" w:cs="Arial"/>
          <w:bCs/>
          <w:sz w:val="22"/>
          <w:szCs w:val="22"/>
          <w:lang w:val="pl-PL"/>
        </w:rPr>
        <w:t>pierwsz</w:t>
      </w:r>
      <w:r w:rsidR="00326548" w:rsidRPr="00326548">
        <w:rPr>
          <w:rFonts w:ascii="Arial" w:hAnsi="Arial" w:cs="Arial"/>
          <w:bCs/>
          <w:sz w:val="22"/>
          <w:szCs w:val="22"/>
          <w:lang w:val="pl-PL"/>
        </w:rPr>
        <w:t>ym</w:t>
      </w:r>
      <w:r>
        <w:rPr>
          <w:rFonts w:ascii="Arial" w:hAnsi="Arial" w:cs="Arial"/>
          <w:sz w:val="22"/>
          <w:szCs w:val="22"/>
          <w:lang w:val="pl-PL"/>
        </w:rPr>
        <w:t xml:space="preserve"> kwarta</w:t>
      </w:r>
      <w:r w:rsidR="00326548">
        <w:rPr>
          <w:rFonts w:ascii="Arial" w:hAnsi="Arial" w:cs="Arial"/>
          <w:sz w:val="22"/>
          <w:szCs w:val="22"/>
          <w:lang w:val="pl-PL"/>
        </w:rPr>
        <w:t>le</w:t>
      </w:r>
      <w:r>
        <w:rPr>
          <w:rFonts w:ascii="Arial" w:hAnsi="Arial" w:cs="Arial"/>
          <w:sz w:val="22"/>
          <w:szCs w:val="22"/>
          <w:lang w:val="pl-PL"/>
        </w:rPr>
        <w:t xml:space="preserve"> na całym świecie, otwartość klientów na nowe produkty oraz umiejętne zarządzanie przez firmę skutkami światowego niedoboru podzespołów przyczyniły się do jednego z najlepszych wyników operacyjnych Forda od lat. Mimo trwającego globalnego kryzysu związanego z COVID-19, Ford znacząco poszerzył swoją ofertę o emocjonujące i ciekawe modele, dając klientom bardzo szerokie spektrum wyboru. </w:t>
      </w:r>
    </w:p>
    <w:p w14:paraId="55BC38EA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30E04758" w14:textId="77777777" w:rsidR="00E63BD0" w:rsidRDefault="00E63BD0" w:rsidP="00E63BD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Świetne wyniki finansowe Forda w Europie</w:t>
      </w:r>
    </w:p>
    <w:p w14:paraId="271DC8BF" w14:textId="6D24E776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Europie Ford wygenerował 7,1 miliardów dolarów przychodów, co oznacza wzrost o 13% w porównaniu do pierwszego kwartału roku ubiegłego oraz 341 milionów dolarów zysku operacyjnego. To z kolei stanowi więcej niż zwrot straty sprzed roku. Marża EBIT ustabilizowała się na poziomie 4,8%. Firma wprowadziła nowy system dyspozycyjności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FORDLiive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dla klientów komercyjnych, jednocześnie zwiększając swój udział w regionalnym rynku pojazdów dostawczych do rekordowego poziomu. Również w tym kwartale potwierdzono, że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sz w:val="22"/>
          <w:szCs w:val="22"/>
          <w:lang w:val="pl-PL"/>
        </w:rPr>
        <w:t>, spółka joint venture w Turcji, będzie dostawcą jednotonowego samochodu dostawczego nowej generacji. Furgonetka będzie sprzedawana w ramach oferty Forda Transita i przez Volkswagena w ramach strategicznego sojuszu między obiema firmami.</w:t>
      </w:r>
    </w:p>
    <w:p w14:paraId="3CAB0FB1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0985DE02" w14:textId="15C44332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tym kwartale Ford rozpoczął już dostawy Mustanga Mach-E do klientów w Europie i ogłosił plany zainwestowania 1 miliarda dolarów w stworzenie Centrum Elektryfikacji Forda w Kolonii, gdzie będą produkowane pojazdy elektryczne. Firma spodziewa się, że w Europie do 2030 r. 100% samochodów osobowych będzie w pełni elektrycznych - a dwie trzecie pojazdów użytkowych będzie w pełni elektrycznych lub hybrydowych typu plug-in.</w:t>
      </w:r>
    </w:p>
    <w:p w14:paraId="6FA2AAFF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4E86E249" w14:textId="4707C57C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„Nasz zespół nieustannie realizuje plan </w:t>
      </w:r>
      <w:r w:rsidR="00326548">
        <w:rPr>
          <w:rFonts w:ascii="Arial" w:hAnsi="Arial" w:cs="Arial"/>
          <w:sz w:val="22"/>
          <w:szCs w:val="22"/>
          <w:lang w:val="pl-PL"/>
        </w:rPr>
        <w:t>obejmujący zmiany w działalności m</w:t>
      </w:r>
      <w:r>
        <w:rPr>
          <w:rFonts w:ascii="Arial" w:hAnsi="Arial" w:cs="Arial"/>
          <w:sz w:val="22"/>
          <w:szCs w:val="22"/>
          <w:lang w:val="pl-PL"/>
        </w:rPr>
        <w:t xml:space="preserve">otoryzacyjnej, tak abyśmy mogli tworzyć i dostarczać wartościowe, zawsze emocjonujące auta, na które zasługują Klienci Forda” - powiedział Jim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Farley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prezes i dyrektor generalny Forda. „Nie ma wątpliwości, że stajemy się silniejszą, bardziej innowacyjną i odporną na rynkowe wahania firmą” – dodał.</w:t>
      </w:r>
    </w:p>
    <w:p w14:paraId="27A3E8DB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2E6A4BB1" w14:textId="77777777" w:rsidR="00E63BD0" w:rsidRDefault="00E63BD0" w:rsidP="00E63BD0">
      <w:pPr>
        <w:rPr>
          <w:rFonts w:ascii="Arial" w:hAnsi="Arial" w:cs="Arial"/>
          <w:b/>
          <w:sz w:val="22"/>
          <w:szCs w:val="22"/>
          <w:lang w:val="pl-PL"/>
        </w:rPr>
      </w:pPr>
    </w:p>
    <w:p w14:paraId="5628E755" w14:textId="17338461" w:rsidR="00E63BD0" w:rsidRDefault="00E63BD0" w:rsidP="00E63BD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Dynamiczny i stabilny rozwój globalny</w:t>
      </w:r>
    </w:p>
    <w:p w14:paraId="7A3F968B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Kwartalnie skorygowany zysk EBIT (zysk przed odsetkami i podatkami) w wysokości 4,8 miliarda dolarów zawierał niegotówkowy zysk w wysokości 902 milionów dolarów z inwestycji Forda w markę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Rivian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Zysk z finansowania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Rivian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Series F w styczniu został uwzględniony w wytycznych Forda na 2021 rok, przedstawionych na początku lutego. Skorygowany zysk EBIT dodatkowo skorzystał z dużego popytu klientów na nowe produkty firmy, ograniczonych zapasów pojazdów i korzystnej rocznej wydajności kosztowej.</w:t>
      </w:r>
    </w:p>
    <w:p w14:paraId="747F5D8F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55353BF2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Dyrektor finansowy Forda, John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Lawler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powiedział, że dostępność półproduktów, która została dodatkowo obniżona przez pożar w fabryce dostawcy w Japonii w marcu, ulegnie chwilowemu pogorszeniu, lecz później wyraźnie się poprawi. Obecna sytuacja zapewne utrzyma się do drugiego kwartału, zaś w drugiej połowie roku będziemy notować jeszcze lepsze wyniki. W międzyczasie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Lawler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powiedział, że firma skupia się na zarządzaniu łańcuchem dostaw przez całą dobę, każdego dnia i usprawnianiu realizacji podstawowej działalności Forda. Jako przykłady tego ostatniego wskazał niedawne premiery emocjonującego elektrycznego SUV-a - Mustanga Mach-E, zupełnie nowego pickupa F-150 na rok 2021 i SUV-a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Sport.</w:t>
      </w:r>
    </w:p>
    <w:p w14:paraId="76499CA3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010AFE5F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„Obserwowanie, jak nasi ludzie rozwijają markę Ford, a jednocześnie doskonale radzą sobie ze skutkami globalnej pandemii i poważnymi problemami z łańcuchem dostaw, jest niezwykle budujące i satysfakcjonujące” -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Lawler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DCD3E62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65DEEE19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Klienci wydają się to zauważać. Firma analityczna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Morning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Consult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poinformowała w zeszłym tygodniu, że Ford wśród firm w USA zyskuje zaufanie konsumentów. Poprawa została przypisana głównie inżynierii Forda, produkcji i dystrybucji milionów elementów wyposażenia, które mają pomóc chronić społeczności przed pandemią COVID-19.</w:t>
      </w:r>
    </w:p>
    <w:p w14:paraId="346118C6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0C004471" w14:textId="77777777" w:rsidR="00E63BD0" w:rsidRDefault="00E63BD0" w:rsidP="00E63BD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Świetna sytuacja Forda w Polsce</w:t>
      </w:r>
    </w:p>
    <w:p w14:paraId="7BD44911" w14:textId="7672F326" w:rsidR="005649ED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pierwszym kwartale 2021 r. sprzedaż samochodów osobowych marki wyniosła 5 378 egzemplarzy i była wyższa o</w:t>
      </w:r>
      <w:r w:rsidR="005649ED">
        <w:rPr>
          <w:rFonts w:ascii="Arial" w:hAnsi="Arial" w:cs="Arial"/>
          <w:sz w:val="22"/>
          <w:szCs w:val="22"/>
          <w:lang w:val="pl-PL"/>
        </w:rPr>
        <w:t xml:space="preserve"> ponad</w:t>
      </w:r>
      <w:r>
        <w:rPr>
          <w:rFonts w:ascii="Arial" w:hAnsi="Arial" w:cs="Arial"/>
          <w:sz w:val="22"/>
          <w:szCs w:val="22"/>
          <w:lang w:val="pl-PL"/>
        </w:rPr>
        <w:t xml:space="preserve"> 40% niż w analogicznym okresie ubiegłego roku. </w:t>
      </w:r>
      <w:r w:rsidR="005649ED">
        <w:rPr>
          <w:rFonts w:ascii="Arial" w:hAnsi="Arial" w:cs="Arial"/>
          <w:sz w:val="22"/>
          <w:szCs w:val="22"/>
          <w:lang w:val="pl-PL"/>
        </w:rPr>
        <w:t>Co istotne, udział Forda w tym niezwykle konkurencyjnym rynku zwiększył się o jeden punkt procentowy względem ubiegłego roku i wynosi 4,56% po pierwszych trzech miesiącach bieżącego roku.</w:t>
      </w:r>
    </w:p>
    <w:p w14:paraId="2797795F" w14:textId="77777777" w:rsidR="005649ED" w:rsidRDefault="005649ED" w:rsidP="00E63BD0">
      <w:pPr>
        <w:rPr>
          <w:rFonts w:ascii="Arial" w:hAnsi="Arial" w:cs="Arial"/>
          <w:sz w:val="22"/>
          <w:szCs w:val="22"/>
          <w:lang w:val="pl-PL"/>
        </w:rPr>
      </w:pPr>
    </w:p>
    <w:p w14:paraId="6A463BCE" w14:textId="7ED2A3CA" w:rsidR="005649ED" w:rsidRDefault="005649ED" w:rsidP="005649ED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 w:rsidRPr="005649ED">
        <w:rPr>
          <w:rFonts w:ascii="Arial" w:eastAsia="Arial" w:hAnsi="Arial" w:cs="Arial"/>
          <w:sz w:val="22"/>
          <w:szCs w:val="22"/>
          <w:lang w:val="pl-PL"/>
        </w:rPr>
        <w:t>W czołówce samochodów dostawczych pozostaje Transit. Jego sprzedaż w pierwszym kwartale 2021 r. wzrosła względem analogicznego okresu ubiegłego roku o blisko 50%.</w:t>
      </w:r>
      <w:r w:rsidRPr="005649E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Co warte podkreślenia, wszystkie modele dostawcze Forda odnotowały wzrost sprzedaży w pierwszym kwartale 2021 r. w odniesieniu do tego samego kwartału ubiegłego roku. Największym wzrostem może pochwalić się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sprzedano o blisko 80% egzemplarzy więcej niż w Q1 2020. Pick-up Forda jest liderem swojego segmentu z udziałem na poziomie 47%.</w:t>
      </w:r>
    </w:p>
    <w:p w14:paraId="666BEADF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551E4F34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Cieszymy się, że możemy być częścią sukcesu Forda w Europie i na całym świecie. Mimo niekorzystnych warunków rynkowych, pandemii COVID-19 oraz problemów związanych między innymi z dostawami podzespołów do aut, nasze modele cieszą się coraz większą popularnością, a marka rosnącym zaufaniem klientów – powiedział Piotr Pawlak, prezes i dyrektor zarządzający Ford Polska. </w:t>
      </w:r>
    </w:p>
    <w:p w14:paraId="06D16C7D" w14:textId="77777777" w:rsidR="00E63BD0" w:rsidRDefault="00E63BD0" w:rsidP="00E63BD0">
      <w:pPr>
        <w:rPr>
          <w:rFonts w:ascii="Arial" w:hAnsi="Arial" w:cs="Arial"/>
          <w:sz w:val="22"/>
          <w:szCs w:val="22"/>
          <w:lang w:val="pl-PL"/>
        </w:rPr>
      </w:pP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207C9F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24EF" w14:textId="77777777" w:rsidR="0030370E" w:rsidRDefault="0030370E">
      <w:r>
        <w:separator/>
      </w:r>
    </w:p>
  </w:endnote>
  <w:endnote w:type="continuationSeparator" w:id="0">
    <w:p w14:paraId="1FA404B4" w14:textId="77777777" w:rsidR="0030370E" w:rsidRDefault="0030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207C9F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30370E">
            <w:fldChar w:fldCharType="begin"/>
          </w:r>
          <w:r w:rsidR="0030370E" w:rsidRPr="00207C9F">
            <w:rPr>
              <w:lang w:val="pl-PL"/>
            </w:rPr>
            <w:instrText xml:space="preserve"> HYPERLINK "http://www.fordmedia.eu/" \h </w:instrText>
          </w:r>
          <w:r w:rsidR="0030370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30370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30370E">
            <w:fldChar w:fldCharType="begin"/>
          </w:r>
          <w:r w:rsidR="0030370E" w:rsidRPr="00207C9F">
            <w:rPr>
              <w:lang w:val="pl-PL"/>
            </w:rPr>
            <w:instrText xml:space="preserve"> HYPERLINK "http://www.media.ford.com/" \h </w:instrText>
          </w:r>
          <w:r w:rsidR="0030370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30370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30370E">
            <w:fldChar w:fldCharType="begin"/>
          </w:r>
          <w:r w:rsidR="0030370E" w:rsidRPr="00207C9F">
            <w:rPr>
              <w:lang w:val="pl-PL"/>
            </w:rPr>
            <w:instrText xml:space="preserve"> HYPERLINK "http://www.twitter.com/FordEu" \h </w:instrText>
          </w:r>
          <w:r w:rsidR="0030370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30370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30370E">
            <w:fldChar w:fldCharType="begin"/>
          </w:r>
          <w:r w:rsidR="0030370E" w:rsidRPr="00207C9F">
            <w:rPr>
              <w:lang w:val="pl-PL"/>
            </w:rPr>
            <w:instrText xml:space="preserve"> HYPERLINK "http://www.youtube.com/fordofeurope" \h </w:instrText>
          </w:r>
          <w:r w:rsidR="0030370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30370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30370E">
      <w:fldChar w:fldCharType="begin"/>
    </w:r>
    <w:r w:rsidR="0030370E" w:rsidRPr="00207C9F">
      <w:rPr>
        <w:lang w:val="pl-PL"/>
      </w:rPr>
      <w:instrText xml:space="preserve"> HYPERLINK "http://www.fordmedia.eu/" \h </w:instrText>
    </w:r>
    <w:r w:rsidR="0030370E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30370E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3931" w14:textId="77777777" w:rsidR="0030370E" w:rsidRDefault="0030370E">
      <w:r>
        <w:separator/>
      </w:r>
    </w:p>
  </w:footnote>
  <w:footnote w:type="continuationSeparator" w:id="0">
    <w:p w14:paraId="5C3403DC" w14:textId="77777777" w:rsidR="0030370E" w:rsidRDefault="0030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A76BD"/>
    <w:multiLevelType w:val="hybridMultilevel"/>
    <w:tmpl w:val="B230729A"/>
    <w:lvl w:ilvl="0" w:tplc="B9E873DC">
      <w:start w:val="1"/>
      <w:numFmt w:val="bullet"/>
      <w:lvlText w:val="·"/>
      <w:lvlJc w:val="left"/>
      <w:pPr>
        <w:ind w:left="737" w:hanging="73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0E"/>
    <w:multiLevelType w:val="hybridMultilevel"/>
    <w:tmpl w:val="1F002AD2"/>
    <w:lvl w:ilvl="0" w:tplc="4176BAB0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956CD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2B3B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8F28CF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BEE9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290F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A70DDB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A1273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825A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1"/>
  </w:num>
  <w:num w:numId="5">
    <w:abstractNumId w:val="24"/>
  </w:num>
  <w:num w:numId="6">
    <w:abstractNumId w:val="11"/>
  </w:num>
  <w:num w:numId="7">
    <w:abstractNumId w:val="18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9"/>
  </w:num>
  <w:num w:numId="14">
    <w:abstractNumId w:val="6"/>
  </w:num>
  <w:num w:numId="15">
    <w:abstractNumId w:val="20"/>
  </w:num>
  <w:num w:numId="16">
    <w:abstractNumId w:val="9"/>
  </w:num>
  <w:num w:numId="17">
    <w:abstractNumId w:val="23"/>
  </w:num>
  <w:num w:numId="18">
    <w:abstractNumId w:val="25"/>
  </w:num>
  <w:num w:numId="19">
    <w:abstractNumId w:val="0"/>
  </w:num>
  <w:num w:numId="20">
    <w:abstractNumId w:val="27"/>
  </w:num>
  <w:num w:numId="21">
    <w:abstractNumId w:val="15"/>
  </w:num>
  <w:num w:numId="22">
    <w:abstractNumId w:val="10"/>
  </w:num>
  <w:num w:numId="23">
    <w:abstractNumId w:val="22"/>
  </w:num>
  <w:num w:numId="24">
    <w:abstractNumId w:val="26"/>
  </w:num>
  <w:num w:numId="25">
    <w:abstractNumId w:val="12"/>
  </w:num>
  <w:num w:numId="26">
    <w:abstractNumId w:val="14"/>
  </w:num>
  <w:num w:numId="27">
    <w:abstractNumId w:val="13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6F3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07C9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370E"/>
    <w:rsid w:val="003064BB"/>
    <w:rsid w:val="003076E2"/>
    <w:rsid w:val="0030794E"/>
    <w:rsid w:val="00326548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9ED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1C94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63BD0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597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D1F5-8C6D-4D1E-8629-60405CF8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3</cp:revision>
  <cp:lastPrinted>2021-02-12T09:18:00Z</cp:lastPrinted>
  <dcterms:created xsi:type="dcterms:W3CDTF">2021-04-29T13:04:00Z</dcterms:created>
  <dcterms:modified xsi:type="dcterms:W3CDTF">2021-04-29T13:09:00Z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