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B32C" w14:textId="249DF13D" w:rsidR="007F7650" w:rsidRDefault="007F7650" w:rsidP="007F7650">
      <w:pPr>
        <w:pStyle w:val="xmsonormal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Ford Europe, dążąc do zapewnienia stabilnej rentowności, stawia na pojazdy elektryczne; </w:t>
      </w:r>
      <w:bookmarkStart w:id="2" w:name="_GoBack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zakład w Kolonii rozpoczyna transformację o wartości 1 miliarda dolarów</w:t>
      </w:r>
      <w:bookmarkEnd w:id="2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.</w:t>
      </w:r>
    </w:p>
    <w:p w14:paraId="716E7DB1" w14:textId="77777777" w:rsidR="007F7650" w:rsidRDefault="007F7650" w:rsidP="007F7650">
      <w:pPr>
        <w:pStyle w:val="xmsonormal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</w:p>
    <w:p w14:paraId="36D8DFEB" w14:textId="5A3C8335" w:rsidR="007F7650" w:rsidRDefault="007F7650" w:rsidP="007F7650">
      <w:pPr>
        <w:numPr>
          <w:ilvl w:val="0"/>
          <w:numId w:val="24"/>
        </w:numPr>
        <w:contextualSpacing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 zapewnia, że do połowy 2026 roku pełna gama jego samochodów osobowych w Europie będzie zdolnych do poruszania się z zerową emisją – będą to pojazdy w pełni elektryczne lub hybrydowe plug-in – przejście na napędy w pełni elektryczne planowane jest do 2030 roku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</w:p>
    <w:p w14:paraId="39131483" w14:textId="3B862749" w:rsidR="007F7650" w:rsidRDefault="007F7650" w:rsidP="007F7650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Cała europejska gama</w:t>
      </w:r>
      <w:bookmarkStart w:id="3" w:name="_Hlk63772482"/>
      <w:bookmarkEnd w:id="3"/>
      <w:r>
        <w:rPr>
          <w:rFonts w:ascii="Arial" w:hAnsi="Arial" w:cs="Arial"/>
          <w:sz w:val="22"/>
          <w:szCs w:val="22"/>
          <w:lang w:val="pl-PL"/>
        </w:rPr>
        <w:t xml:space="preserve"> pojazdów </w:t>
      </w:r>
      <w:r>
        <w:rPr>
          <w:rFonts w:ascii="Arial" w:hAnsi="Arial" w:cs="Arial"/>
          <w:sz w:val="22"/>
          <w:szCs w:val="22"/>
          <w:lang w:val="pl-PL"/>
        </w:rPr>
        <w:t xml:space="preserve">dostawczych </w:t>
      </w:r>
      <w:r>
        <w:rPr>
          <w:rFonts w:ascii="Arial" w:hAnsi="Arial" w:cs="Arial"/>
          <w:sz w:val="22"/>
          <w:szCs w:val="22"/>
          <w:lang w:val="pl-PL"/>
        </w:rPr>
        <w:t xml:space="preserve">Forda również będzie zdolna do jazdy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 pełni elektryczna lub hybrydowa plug-in, a do 2030 roku dwie trzecie sprzedawanych pojazdów użytkowych Forda ma być w pełni zelektryfikowanych lub wyposażonych w napęd hybrydowy plug-in.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2C06ACC6" w14:textId="791F5869" w:rsidR="007F7650" w:rsidRPr="007F7650" w:rsidRDefault="007F7650" w:rsidP="007F7650">
      <w:pPr>
        <w:numPr>
          <w:ilvl w:val="0"/>
          <w:numId w:val="24"/>
        </w:numPr>
        <w:rPr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Wiodąca rola Forda w Europie w segmencie pojazdów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dostawczych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jest kluczowa dla przyszłego wzrostu i rentowności, a wsparcie zapewnią nowe produkty i usługi oraz strategiczny sojusz Forda z Volkswagenem i spółką joint venture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71EF0D6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90A1178" w14:textId="4A61AB3F" w:rsidR="007F7650" w:rsidRPr="007F7650" w:rsidRDefault="007F7650" w:rsidP="007F7650">
      <w:pPr>
        <w:numPr>
          <w:ilvl w:val="0"/>
          <w:numId w:val="24"/>
        </w:numPr>
        <w:rPr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Przyjęcie przez Forda kursu na w pełni elektryczną przyszłość motoryzacji podkreśla inwestycja o wartości 1 miliarda dolarów w nowe centrum produkcji pojazdów elektrycznych w Kolonii. Pierwszy produkowany w Europie seryjny, całkowicie elektryczny samochód osobowy przeznaczony na rynek europejski zjedzie z linii montażowej w Kolonii w 2023 roku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  <w:br/>
      </w:r>
    </w:p>
    <w:p w14:paraId="324CE643" w14:textId="1FF35D84" w:rsidR="007F7650" w:rsidRDefault="007F7650" w:rsidP="007F7650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Po pomyślnej restrukturyzacji i powrocie do rentowności w Europie w czwartym kwartale 2020 roku, Ford przechodzi do następnej fazy planu na drodze do w pełni elektrycznych napędów. Firma jest na dobrej drodze, aby osiągnąć docelową marżę EBIT na poziomie 6%, co jest częścią planu firmy mającego na celu restrukturyzację globalnej działalności motoryzacyjnej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4B2A5E9F" w14:textId="065AB60D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>, 17 lutego 2021</w:t>
      </w:r>
      <w:r>
        <w:rPr>
          <w:rFonts w:ascii="Arial" w:hAnsi="Arial" w:cs="Arial"/>
          <w:b/>
          <w:sz w:val="22"/>
          <w:szCs w:val="22"/>
          <w:lang w:val="pl-PL"/>
        </w:rPr>
        <w:t xml:space="preserve"> roku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 Ford stawia dziś znaczący krok w kierunku transformacji europejskiej działalności, zobowiązując się do pełnego zaangażowania w produkcję elektrycznych samochodów osobowych oraz do zdecydowanego rozwinięcia i elektryfikacji wiodącego sektora – produkcji pojazdów</w:t>
      </w:r>
      <w:r>
        <w:rPr>
          <w:rFonts w:ascii="Arial" w:hAnsi="Arial" w:cs="Arial"/>
          <w:sz w:val="22"/>
          <w:szCs w:val="22"/>
          <w:lang w:val="pl-PL"/>
        </w:rPr>
        <w:t xml:space="preserve"> dostawczych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37CE223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</w:p>
    <w:p w14:paraId="58FC3387" w14:textId="474E00D3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zobowiązał się dzisiaj, że do połowy 2026 roku pełna europejska gama pojazdów osobowych marki będzie mogła poruszać się z zerową emisją spalin, będą to samochody w pełni elektryczne lub hybrydowe typu plug-in, a do 2030 roku planowane jest stuprocentowe przejście na napędy w pełni elektryczne. Analogicznie do 2024 r. cała gama pojazdów </w:t>
      </w:r>
      <w:r>
        <w:rPr>
          <w:rFonts w:ascii="Arial" w:hAnsi="Arial" w:cs="Arial"/>
          <w:sz w:val="22"/>
          <w:szCs w:val="22"/>
          <w:lang w:val="pl-PL"/>
        </w:rPr>
        <w:t xml:space="preserve">dostawczych </w:t>
      </w:r>
      <w:r>
        <w:rPr>
          <w:rFonts w:ascii="Arial" w:hAnsi="Arial" w:cs="Arial"/>
          <w:sz w:val="22"/>
          <w:szCs w:val="22"/>
          <w:lang w:val="pl-PL"/>
        </w:rPr>
        <w:t xml:space="preserve">Forda będzie zdolna do jazdy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w pełni elektryczna lub napędzana układami hybrydowymi typu plug-in, a do 2030 roku dwie trzecie sprzedawanych pojazdów </w:t>
      </w:r>
      <w:r>
        <w:rPr>
          <w:rFonts w:ascii="Arial" w:hAnsi="Arial" w:cs="Arial"/>
          <w:sz w:val="22"/>
          <w:szCs w:val="22"/>
          <w:lang w:val="pl-PL"/>
        </w:rPr>
        <w:t xml:space="preserve">dostawczych </w:t>
      </w:r>
      <w:r>
        <w:rPr>
          <w:rFonts w:ascii="Arial" w:hAnsi="Arial" w:cs="Arial"/>
          <w:sz w:val="22"/>
          <w:szCs w:val="22"/>
          <w:lang w:val="pl-PL"/>
        </w:rPr>
        <w:t>Forda ma być w pełni zelektryfikowanych lub wyposażonych w napęd hybrydowy plug-in.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5E51A193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Powyższa wiadomość pojawia się po ogłoszeniu przez Forda powrotu do rentowności w Europie w czwartym kwartale 2020 roku oraz po zapowiedzi, że firma zainwestuje globalnie do 2025 roku co najmniej 22 miliardy dolarów w elektryfikację, czyli prawie dwa razy tyle, ile firma przeznaczyła wcześniej w planach na pojazdy elektryczne.</w:t>
      </w:r>
    </w:p>
    <w:p w14:paraId="7CB074F1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</w:p>
    <w:p w14:paraId="18833B03" w14:textId="16828708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Przeprowadziliśmy z powodzeniem restrukturyzację Ford of Europe i powróciliśmy do rentowności w czwartym kwartale 2020 roku. Obecnie wkraczamy w Europie w przyszłość należącą do pełnej elektryfikacji z nowymi pojazdami i nowymi, wysokiej klasy usługami komunikacji – powiedział Stuart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prezes Ford of Europe. – Oczekujemy, że w tym roku będziemy kontynuowali silny wzrost w Europie i pozostaniemy na dobrej drodze do osiągnięcia sześcioprocentowej marży EBIT w ramach planu Forda, którego celem jest wzmocnienie naszej globalnej działalności motoryzacyjnej – dodał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7D7BA67F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</w:p>
    <w:p w14:paraId="0BAF5020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Kluczowe znaczenie dla usprawnienia działalności Forda w Europie w ciągu ostatnich dwóch lat miała poprawa kosztów strukturalnych o 1 miliard dolarów, zwrócenie większej uwagi na nierentowne rynki, stworzenie lepiej dostosowanej linii pojazdów w ramach trzech grup biznesowych skoncentrowanych na kliencie oraz partnerstwa mające na celu stymulowanie wzrostu i poprawę poziomu rentowności w całej firmie.</w:t>
      </w:r>
    </w:p>
    <w:p w14:paraId="5FA18402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</w:p>
    <w:p w14:paraId="52523D42" w14:textId="47AFEA90" w:rsidR="007F7650" w:rsidRDefault="007F7650" w:rsidP="007F7650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Przyspieszenie rozwoju działalności Forda w zakresie pojazdów </w:t>
      </w:r>
      <w:r>
        <w:rPr>
          <w:rFonts w:ascii="Arial" w:hAnsi="Arial" w:cs="Arial"/>
          <w:b/>
          <w:bCs/>
          <w:sz w:val="22"/>
          <w:szCs w:val="22"/>
          <w:lang w:val="pl-PL"/>
        </w:rPr>
        <w:t>dostawczych</w:t>
      </w:r>
    </w:p>
    <w:p w14:paraId="3804E278" w14:textId="77777777" w:rsidR="007F7650" w:rsidRDefault="007F7650" w:rsidP="007F7650">
      <w:pPr>
        <w:rPr>
          <w:rFonts w:ascii="Arial" w:hAnsi="Arial" w:cs="Arial"/>
          <w:sz w:val="22"/>
          <w:szCs w:val="22"/>
          <w:shd w:val="clear" w:color="auto" w:fill="FFFF00"/>
          <w:lang w:val="pl-PL"/>
        </w:rPr>
      </w:pPr>
    </w:p>
    <w:p w14:paraId="2E70F91A" w14:textId="28069F34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2020 roku Ford po raz szósty z rzędu sięgnął po tytuł lidera sprzedaży pojazdów użytkowych w Europie. Wzrost w mocnej u Forda branży pojazdów </w:t>
      </w:r>
      <w:r>
        <w:rPr>
          <w:rFonts w:ascii="Arial" w:hAnsi="Arial" w:cs="Arial"/>
          <w:sz w:val="22"/>
          <w:szCs w:val="22"/>
          <w:lang w:val="pl-PL"/>
        </w:rPr>
        <w:t xml:space="preserve">dostawczych </w:t>
      </w:r>
      <w:r>
        <w:rPr>
          <w:rFonts w:ascii="Arial" w:hAnsi="Arial" w:cs="Arial"/>
          <w:sz w:val="22"/>
          <w:szCs w:val="22"/>
          <w:lang w:val="pl-PL"/>
        </w:rPr>
        <w:t>jest kluczowy dla jego europejskiej rentowności. Ma on być wspierany przez nowe produkty i usługi, współpracę z rozległą siecią partnerów zabudowujących pojazdy</w:t>
      </w:r>
      <w:r>
        <w:rPr>
          <w:rFonts w:ascii="Arial" w:hAnsi="Arial" w:cs="Arial"/>
          <w:sz w:val="22"/>
          <w:szCs w:val="22"/>
          <w:lang w:val="pl-PL"/>
        </w:rPr>
        <w:t xml:space="preserve"> dostawcze</w:t>
      </w:r>
      <w:r>
        <w:rPr>
          <w:rFonts w:ascii="Arial" w:hAnsi="Arial" w:cs="Arial"/>
          <w:sz w:val="22"/>
          <w:szCs w:val="22"/>
          <w:lang w:val="pl-PL"/>
        </w:rPr>
        <w:t xml:space="preserve">, przy czym strategiczny sojusz Forda z Volkswagenem i spółką joint venture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 efektywny kosztowo rozwój pojazdów i zaopatrzenie w komponenty.</w:t>
      </w:r>
    </w:p>
    <w:p w14:paraId="3F111650" w14:textId="77777777" w:rsidR="007F7650" w:rsidRDefault="007F7650" w:rsidP="007F7650">
      <w:pPr>
        <w:rPr>
          <w:rFonts w:ascii="Arial" w:hAnsi="Arial" w:cs="Arial"/>
          <w:sz w:val="22"/>
          <w:szCs w:val="22"/>
          <w:lang w:val="pl-PL"/>
        </w:rPr>
      </w:pPr>
    </w:p>
    <w:p w14:paraId="0D91D9ED" w14:textId="4548660F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Motorem dalszego wzrostu w segmencie pojazdów </w:t>
      </w:r>
      <w:r>
        <w:rPr>
          <w:rFonts w:ascii="Arial" w:hAnsi="Arial" w:cs="Arial"/>
          <w:sz w:val="22"/>
          <w:szCs w:val="22"/>
          <w:lang w:val="pl-PL"/>
        </w:rPr>
        <w:t xml:space="preserve">dostawczych </w:t>
      </w:r>
      <w:r>
        <w:rPr>
          <w:rFonts w:ascii="Arial" w:hAnsi="Arial" w:cs="Arial"/>
          <w:sz w:val="22"/>
          <w:szCs w:val="22"/>
          <w:lang w:val="pl-PL"/>
        </w:rPr>
        <w:t xml:space="preserve">będzie ekosystem zbudowany wokół usług komunikacji opracowanych wspólnie z klientami, których celem jest poprawa zadowolenia właścicieli pojazdów i wspieranie rozwoju ich firm.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Obejmuje to przykładowo usługi związane z czasem gotowości do pracy i produktywnością, takie jak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Pro dla flot składających się z maksymalnie pięciu pojazdów, a także uruchomienie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Fleet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Management, programu stworzonego przez Forda i ALD Automotive w ubiegłym roku, służącego maksymalizacji produktywności u klientów flotowych, którzy poszukują usług dostosowanych do indywidualnych potrzeb, by utrzymać flotę samochodową w ruchu.</w:t>
      </w:r>
    </w:p>
    <w:p w14:paraId="2F620AED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F49F7EB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Firmy Ford i Google ogłosiły również niedawno utworzenie nowej grupy partnerskiej, Team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Upshift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której celem jest tworzenie przełomowych rozwiązań opartych na analizie danych. To pierwsze w swoim rodzaju partnerstwo, korzystające z wewnętrznych możliwości Forda, będzie podstawą przekształcenia doświadczeń i usług związanych z posiadaniem pojazdu, skierowanym zarówno do klientów eksploatujących pojazdy użytkowe, jak i osobowe.  </w:t>
      </w:r>
    </w:p>
    <w:p w14:paraId="33B8D9B3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5846E02" w14:textId="77777777" w:rsidR="007F7650" w:rsidRDefault="007F7650" w:rsidP="007F7650">
      <w:pP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Inwestycja 1 miliarda dolarów w zakłady Forda w Kolonii  </w:t>
      </w:r>
    </w:p>
    <w:p w14:paraId="547D3597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4" w:name="_Hlk60737761"/>
      <w:bookmarkEnd w:id="4"/>
    </w:p>
    <w:p w14:paraId="627DCD27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Głównym impulsem dla Forda w kierunku całkowicie elektrycznej przyszłości jest nowa inwestycja o wartości 1 miliarda dolarów, mająca na celu modernizację montowni pojazdów w Kolonii w Niemczech, jednego z największych ośrodków produkcyjnych w Europie i siedziby Ford of Europe. Inwestycja ta przekształci istniejące zakłady montażu pojazdów w Centrum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Elektryfikacji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Cologne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Electrification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Center, ukierunkowane na produkcję pojazdów elektrycznych. Będzie to pierwszy taki zakład Forda w Europie. </w:t>
      </w:r>
    </w:p>
    <w:p w14:paraId="0F342F35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003B628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 potwierdził również, że pierwszy seryjny, całkowicie elektryczny samochód osobowy przeznaczony dla europejskich klientów zjedzie z taśm zakładu w 2023 roku, przy czym rozważana jest możliwość produkowania tam drugiego w pełni elektrycznego pojazdu.</w:t>
      </w:r>
    </w:p>
    <w:p w14:paraId="096FF553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7232DFF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Nasza dzisiejsza zapowiedź przekształcenia zakładu w Kolonii, który od 90 lat jest naszą siedzibą i centrum działalności w Niemczech, jest jedną z najbardziej znaczących decyzji Forda od dziesięcioleci. Pokazuje to nasze zaangażowanie w Europie i znaczenie pojazdów elektrycznych w nowoczesnej przyszłości marki jako centralnego punktu naszej strategii rozwoju – powiedział prezes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  </w:t>
      </w:r>
    </w:p>
    <w:p w14:paraId="0BA855FF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3F7E09E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Decyzja o uczynieniu z zakładu produkcyjno-rozwojowego w Kolonii centrum e-mobilności Forda w Europie jest ważnym sygnałem dla całej naszej załogi – powiedział Martin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Hennig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przewodniczący Centralnej Rady Zakładowej Ford-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Werke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GmbH. – Zapewnia to naszym pracownikom długoterminową perspektywę, a jednocześnie zachęca ich do udziału w kształtowaniu elektrycznej przyszłości – dodał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Henning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6770E417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0EB2643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Stuart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podsumował to następująco – Będziemy oferowali wyjątkową gamę pojazdów zelektryfikowanych, wspieranych przez skoncentrowane na kliencie usługi cyfrowe, pozwalając naszym klientom wyruszyć z nami w podróż ku w pełni elektrycznej przyszłości. Zaczynamy już teraz od wprowadzenia na rynek całkowicie elektrycznego Mustanga Mach-E. Będzie to w połączeniu z naszą wiodącą rolą w segmencie pojazdów użytkowych stanowiło podstawę trwale rentownego biznesu Forda w Europie – dodał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0827C55D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8CB3F59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Dodatkowe szczegóły, dotyczące planu elektryfikacji Forda i przekształcenia zakładu w Kolonii zostaną przedstawione w ciągu najbliższych miesięcy.   </w:t>
      </w:r>
    </w:p>
    <w:p w14:paraId="284A2CE0" w14:textId="77777777" w:rsidR="007F7650" w:rsidRDefault="007F7650" w:rsidP="007F765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77777777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5" w:name="_Hlk38031302"/>
      <w:bookmarkEnd w:id="5"/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lastRenderedPageBreak/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7F765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3973" w14:textId="77777777" w:rsidR="00EC156D" w:rsidRDefault="00EC156D">
      <w:r>
        <w:separator/>
      </w:r>
    </w:p>
  </w:endnote>
  <w:endnote w:type="continuationSeparator" w:id="0">
    <w:p w14:paraId="25996F27" w14:textId="77777777" w:rsidR="00EC156D" w:rsidRDefault="00E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F765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E1CC" w14:textId="77777777" w:rsidR="00EC156D" w:rsidRDefault="00EC156D">
      <w:r>
        <w:separator/>
      </w:r>
    </w:p>
  </w:footnote>
  <w:footnote w:type="continuationSeparator" w:id="0">
    <w:p w14:paraId="353E0859" w14:textId="77777777" w:rsidR="00EC156D" w:rsidRDefault="00EC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7"/>
  </w:num>
  <w:num w:numId="5">
    <w:abstractNumId w:val="20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8"/>
  </w:num>
  <w:num w:numId="17">
    <w:abstractNumId w:val="19"/>
  </w:num>
  <w:num w:numId="18">
    <w:abstractNumId w:val="21"/>
  </w:num>
  <w:num w:numId="19">
    <w:abstractNumId w:val="0"/>
  </w:num>
  <w:num w:numId="20">
    <w:abstractNumId w:val="23"/>
  </w:num>
  <w:num w:numId="21">
    <w:abstractNumId w:val="11"/>
  </w:num>
  <w:num w:numId="22">
    <w:abstractNumId w:val="9"/>
  </w:num>
  <w:num w:numId="23">
    <w:abstractNumId w:val="18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6314"/>
    <w:rsid w:val="001F1748"/>
    <w:rsid w:val="001F288F"/>
    <w:rsid w:val="0020173F"/>
    <w:rsid w:val="002160FA"/>
    <w:rsid w:val="00220308"/>
    <w:rsid w:val="00235A84"/>
    <w:rsid w:val="00236E2D"/>
    <w:rsid w:val="0023723C"/>
    <w:rsid w:val="00243B0D"/>
    <w:rsid w:val="00243F8B"/>
    <w:rsid w:val="002531D9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6849"/>
    <w:rsid w:val="00A55A8F"/>
    <w:rsid w:val="00A61728"/>
    <w:rsid w:val="00A70C81"/>
    <w:rsid w:val="00A710DE"/>
    <w:rsid w:val="00A720DE"/>
    <w:rsid w:val="00A737BD"/>
    <w:rsid w:val="00A84011"/>
    <w:rsid w:val="00A92E41"/>
    <w:rsid w:val="00A9318E"/>
    <w:rsid w:val="00AA23CE"/>
    <w:rsid w:val="00AA405F"/>
    <w:rsid w:val="00AD54FF"/>
    <w:rsid w:val="00AD5814"/>
    <w:rsid w:val="00AF1F15"/>
    <w:rsid w:val="00AF67EE"/>
    <w:rsid w:val="00B01153"/>
    <w:rsid w:val="00B01F0A"/>
    <w:rsid w:val="00B120C8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E4EA8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EF5F-0486-46A8-B2F6-9D65E89E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cp:lastPrinted>2021-02-12T09:18:00Z</cp:lastPrinted>
  <dcterms:created xsi:type="dcterms:W3CDTF">2021-02-17T08:02:00Z</dcterms:created>
  <dcterms:modified xsi:type="dcterms:W3CDTF">2021-02-17T08:20:00Z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