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64FA" w14:textId="21FB8AA6" w:rsidR="00AA23CE" w:rsidRPr="00D40F44" w:rsidRDefault="00AA23CE" w:rsidP="00AA23CE">
      <w:pPr>
        <w:pStyle w:val="Tekstpodstawowy2"/>
        <w:spacing w:line="240" w:lineRule="auto"/>
        <w:rPr>
          <w:lang w:val="pl-PL"/>
        </w:rPr>
      </w:pPr>
      <w:bookmarkStart w:id="0" w:name="_Hlk21420256"/>
      <w:r>
        <w:rPr>
          <w:rFonts w:ascii="Arial" w:hAnsi="Arial" w:cs="Arial"/>
          <w:b/>
          <w:bCs/>
          <w:sz w:val="32"/>
          <w:szCs w:val="32"/>
          <w:lang w:val="pl-PL"/>
        </w:rPr>
        <w:t>Ford ogłasza wprowadzenie najbardziej wydajnej wersji ciężarówki – pięciotonowego Transita o większej ładowności, przygotowanego do szerszego zakresu modyfikacji.</w:t>
      </w:r>
    </w:p>
    <w:p w14:paraId="2C0386C4" w14:textId="77777777" w:rsidR="00AA23CE" w:rsidRDefault="00AA23CE" w:rsidP="00AA23CE">
      <w:pPr>
        <w:pStyle w:val="Tekstpodstawowy2"/>
        <w:spacing w:line="240" w:lineRule="auto"/>
        <w:rPr>
          <w:rFonts w:ascii="Arial" w:hAnsi="Arial" w:cs="Arial"/>
          <w:b/>
          <w:bCs/>
          <w:sz w:val="22"/>
          <w:szCs w:val="22"/>
          <w:lang w:val="pl-PL"/>
        </w:rPr>
      </w:pPr>
    </w:p>
    <w:p w14:paraId="1E55CCAB" w14:textId="4A02D0C1" w:rsidR="00AA23CE" w:rsidRDefault="00AA23CE" w:rsidP="00AA23CE">
      <w:pPr>
        <w:numPr>
          <w:ilvl w:val="0"/>
          <w:numId w:val="46"/>
        </w:numPr>
        <w:rPr>
          <w:rFonts w:ascii="Arial" w:hAnsi="Arial" w:cs="Arial"/>
          <w:sz w:val="22"/>
          <w:szCs w:val="22"/>
          <w:lang w:val="pl-PL"/>
        </w:rPr>
      </w:pPr>
      <w:r>
        <w:rPr>
          <w:rFonts w:ascii="Arial" w:hAnsi="Arial" w:cs="Arial"/>
          <w:sz w:val="22"/>
          <w:szCs w:val="22"/>
          <w:lang w:val="pl-PL"/>
        </w:rPr>
        <w:t>Nowy pięciotonowy Transit jest najwszechstronniejszym pojazdem dostawczym w gamie Transita, jaki Ford kiedykolwiek zbudował; oferowany jest w szerokiej gamie wersji, ze wzmocnionym zawieszeniem, układem napędowym i hamulcami.</w:t>
      </w:r>
    </w:p>
    <w:p w14:paraId="5C999030" w14:textId="77777777" w:rsidR="00AA23CE" w:rsidRDefault="00AA23CE" w:rsidP="00AA23CE">
      <w:pPr>
        <w:ind w:left="360"/>
        <w:rPr>
          <w:rFonts w:ascii="Arial" w:hAnsi="Arial" w:cs="Arial"/>
          <w:sz w:val="22"/>
          <w:szCs w:val="22"/>
          <w:lang w:val="pl-PL"/>
        </w:rPr>
      </w:pPr>
    </w:p>
    <w:p w14:paraId="0A3D7A00" w14:textId="690F5CC5" w:rsidR="00AA23CE" w:rsidRDefault="00AA23CE" w:rsidP="00AA23CE">
      <w:pPr>
        <w:numPr>
          <w:ilvl w:val="0"/>
          <w:numId w:val="46"/>
        </w:numPr>
        <w:rPr>
          <w:rFonts w:ascii="Arial" w:hAnsi="Arial" w:cs="Arial"/>
          <w:sz w:val="22"/>
          <w:szCs w:val="22"/>
          <w:lang w:val="pl-PL"/>
        </w:rPr>
      </w:pPr>
      <w:r>
        <w:rPr>
          <w:rFonts w:ascii="Arial" w:hAnsi="Arial" w:cs="Arial"/>
          <w:sz w:val="22"/>
          <w:szCs w:val="22"/>
          <w:lang w:val="pl-PL"/>
        </w:rPr>
        <w:t>Nowy flagowy model rodziny Transita dostępny jest z nadwoziem zamkniętym lub jako podwozie z kabiną, o dopuszczalnej masie całkowitej 5000 kg i ładowności netto do 2347 kg w wersji zamkniętej lub 2558 kg w wersji z fabryczną platformą.</w:t>
      </w:r>
    </w:p>
    <w:p w14:paraId="737E0F70" w14:textId="77777777" w:rsidR="00AA23CE" w:rsidRDefault="00AA23CE" w:rsidP="00AA23CE">
      <w:pPr>
        <w:pStyle w:val="Akapitzlist"/>
        <w:rPr>
          <w:rFonts w:ascii="Arial" w:hAnsi="Arial" w:cs="Arial"/>
          <w:sz w:val="22"/>
          <w:szCs w:val="22"/>
          <w:lang w:val="pl-PL"/>
        </w:rPr>
      </w:pPr>
    </w:p>
    <w:p w14:paraId="462339CB" w14:textId="3D67D181" w:rsidR="00AA23CE" w:rsidRDefault="00AA23CE" w:rsidP="00AA23CE">
      <w:pPr>
        <w:numPr>
          <w:ilvl w:val="0"/>
          <w:numId w:val="46"/>
        </w:numPr>
        <w:rPr>
          <w:rFonts w:ascii="Arial" w:hAnsi="Arial" w:cs="Arial"/>
          <w:sz w:val="22"/>
          <w:szCs w:val="22"/>
          <w:lang w:val="pl-PL"/>
        </w:rPr>
      </w:pPr>
      <w:r>
        <w:rPr>
          <w:rFonts w:ascii="Arial" w:hAnsi="Arial" w:cs="Arial"/>
          <w:sz w:val="22"/>
          <w:szCs w:val="22"/>
          <w:lang w:val="pl-PL"/>
        </w:rPr>
        <w:t>2,0-litrowy silnik wysokoprężny EcoBlue o mocy 170 KM, Heavy Duty Truck (HDT), zapewnia trwałość, osiągi i niskie zużycie paliwa; dostępna jest opcjonalna, wiodąca w klasie 10-biegowa automatyczna skrzynia biegów.</w:t>
      </w:r>
    </w:p>
    <w:p w14:paraId="506CEF32" w14:textId="77777777" w:rsidR="00AA23CE" w:rsidRDefault="00AA23CE" w:rsidP="00AA23CE">
      <w:pPr>
        <w:rPr>
          <w:rFonts w:ascii="Arial" w:hAnsi="Arial" w:cs="Arial"/>
          <w:sz w:val="22"/>
          <w:szCs w:val="22"/>
          <w:lang w:val="pl-PL"/>
        </w:rPr>
      </w:pPr>
    </w:p>
    <w:p w14:paraId="7E2131D1" w14:textId="52DD0BD1" w:rsidR="00AA23CE" w:rsidRDefault="00AA23CE" w:rsidP="00AA23CE">
      <w:pPr>
        <w:numPr>
          <w:ilvl w:val="0"/>
          <w:numId w:val="46"/>
        </w:numPr>
        <w:rPr>
          <w:rFonts w:ascii="Arial" w:hAnsi="Arial" w:cs="Arial"/>
          <w:sz w:val="22"/>
          <w:szCs w:val="22"/>
          <w:lang w:val="pl-PL"/>
        </w:rPr>
      </w:pPr>
      <w:r>
        <w:rPr>
          <w:rFonts w:ascii="Arial" w:hAnsi="Arial" w:cs="Arial"/>
          <w:sz w:val="22"/>
          <w:szCs w:val="22"/>
          <w:lang w:val="pl-PL"/>
        </w:rPr>
        <w:t>Dzięki zwiększonej dopuszczalnej masie całkowitej i ładowności pojazd skierowany jest do klientów zainteresowanych ciężkim transportem w sektorze usług komunalnych i budownictwie, otwiera</w:t>
      </w:r>
      <w:bookmarkStart w:id="1" w:name="_GoBack"/>
      <w:bookmarkEnd w:id="1"/>
      <w:r>
        <w:rPr>
          <w:rFonts w:ascii="Arial" w:hAnsi="Arial" w:cs="Arial"/>
          <w:sz w:val="22"/>
          <w:szCs w:val="22"/>
          <w:lang w:val="pl-PL"/>
        </w:rPr>
        <w:t xml:space="preserve"> też wiele możliwości modyfikacji dla służb ratowniczych i transportu publicznego.</w:t>
      </w:r>
    </w:p>
    <w:p w14:paraId="2865B1C9" w14:textId="77777777" w:rsidR="00AA23CE" w:rsidRDefault="00AA23CE" w:rsidP="00AA23CE">
      <w:pPr>
        <w:rPr>
          <w:lang w:val="pl-PL"/>
        </w:rPr>
      </w:pPr>
    </w:p>
    <w:p w14:paraId="60623CF1" w14:textId="654DFF19" w:rsidR="00AA23CE" w:rsidRDefault="00AA23CE" w:rsidP="00AA23CE">
      <w:pPr>
        <w:rPr>
          <w:rFonts w:ascii="Arial" w:hAnsi="Arial" w:cs="Arial"/>
          <w:sz w:val="22"/>
          <w:szCs w:val="22"/>
          <w:lang w:val="pl-PL"/>
        </w:rPr>
      </w:pPr>
      <w:r>
        <w:rPr>
          <w:rFonts w:ascii="Arial" w:hAnsi="Arial" w:cs="Arial"/>
          <w:b/>
          <w:sz w:val="22"/>
          <w:szCs w:val="22"/>
          <w:lang w:val="pl-PL"/>
        </w:rPr>
        <w:t>WARSZAWA, 30 września 2020 roku</w:t>
      </w:r>
      <w:r>
        <w:rPr>
          <w:rFonts w:ascii="Arial" w:hAnsi="Arial" w:cs="Arial"/>
          <w:sz w:val="22"/>
          <w:szCs w:val="22"/>
          <w:lang w:val="pl-PL"/>
        </w:rPr>
        <w:t xml:space="preserve"> –- Ford ogłosił dzisiaj wprowadzenie nowej pięciotonowej ciężarówki z rodziny Transita, w wersji Van z zamkniętym nadwoziem lub podwozia z kabiną, o dopuszczalnej masie całkowitej 5000 kg. Pojazdy dostępne będą w europejskiej sieci dilerów Forda pod koniec listopada. </w:t>
      </w:r>
    </w:p>
    <w:p w14:paraId="33C8C9FC" w14:textId="77777777" w:rsidR="00AA23CE" w:rsidRDefault="00AA23CE" w:rsidP="00AA23CE">
      <w:pPr>
        <w:rPr>
          <w:rFonts w:ascii="Arial" w:hAnsi="Arial" w:cs="Arial"/>
          <w:sz w:val="22"/>
          <w:szCs w:val="22"/>
          <w:lang w:val="pl-PL"/>
        </w:rPr>
      </w:pPr>
    </w:p>
    <w:p w14:paraId="38F9999F" w14:textId="77777777" w:rsidR="00AA23CE" w:rsidRDefault="00AA23CE" w:rsidP="00AA23CE">
      <w:pPr>
        <w:rPr>
          <w:rFonts w:ascii="Arial" w:hAnsi="Arial" w:cs="Arial"/>
          <w:sz w:val="22"/>
          <w:szCs w:val="22"/>
          <w:lang w:val="pl-PL"/>
        </w:rPr>
      </w:pPr>
      <w:r>
        <w:rPr>
          <w:rFonts w:ascii="Arial" w:hAnsi="Arial" w:cs="Arial"/>
          <w:sz w:val="22"/>
          <w:szCs w:val="22"/>
          <w:lang w:val="pl-PL"/>
        </w:rPr>
        <w:t xml:space="preserve">W najmocniejszy Fordzie Transicie w historii wprowadzono istotne mechaniczne udoskonalenia, dzięki którym będzie mógł zaoferować klientom najlepszą jak do tej pory ładowność i parametry transportowe, przy jednoczesnym zachowaniu trwałości, kultury pracy i komfortu podczas jazdy podobnych do samochodów osobowych. Zalety te uczyniły Transita ulubionym firmowym modelem dostawczym. </w:t>
      </w:r>
    </w:p>
    <w:p w14:paraId="5A8730C4" w14:textId="77777777" w:rsidR="00AA23CE" w:rsidRDefault="00AA23CE" w:rsidP="00AA23CE">
      <w:pPr>
        <w:rPr>
          <w:rFonts w:ascii="Arial" w:hAnsi="Arial" w:cs="Arial"/>
          <w:sz w:val="22"/>
          <w:szCs w:val="22"/>
          <w:lang w:val="pl-PL"/>
        </w:rPr>
      </w:pPr>
    </w:p>
    <w:p w14:paraId="0F66BE66" w14:textId="77777777" w:rsidR="00AA23CE" w:rsidRDefault="00AA23CE" w:rsidP="00AA23CE">
      <w:pPr>
        <w:rPr>
          <w:rFonts w:ascii="Arial" w:hAnsi="Arial" w:cs="Arial"/>
          <w:sz w:val="22"/>
          <w:szCs w:val="22"/>
          <w:lang w:val="pl-PL"/>
        </w:rPr>
      </w:pPr>
      <w:r>
        <w:rPr>
          <w:rFonts w:ascii="Arial" w:hAnsi="Arial" w:cs="Arial"/>
          <w:sz w:val="22"/>
          <w:szCs w:val="22"/>
          <w:lang w:val="pl-PL"/>
        </w:rPr>
        <w:t xml:space="preserve">Pięciotonowy Transit wzmacnia ofertę Forda w sektorze samochodów dostawczych o dużej masie całkowitej, oferowanych europejskim klientom i ma szansę umocnić pozycję Transita jako lidera na rynku pojazdów użytkowych. Większa o 300 kg ładowność, którą przewyższa poprzedni, najbardziej wydajny wariant Transita, przypadnie do gustu szczególnie klientom, którzy poszukują cięższego pojazdu-bazy do modyfikacji na wszelkie wersje wywrotek, karetek pogotowia, policyjnych samochodów dostawczych i minibusów z co najmniej 19 miejscami siedzącymi. </w:t>
      </w:r>
    </w:p>
    <w:p w14:paraId="73A317CF" w14:textId="77777777" w:rsidR="00AA23CE" w:rsidRDefault="00AA23CE" w:rsidP="00AA23CE">
      <w:pPr>
        <w:rPr>
          <w:rFonts w:ascii="Arial" w:hAnsi="Arial" w:cs="Arial"/>
          <w:sz w:val="22"/>
          <w:szCs w:val="22"/>
          <w:lang w:val="pl-PL"/>
        </w:rPr>
      </w:pPr>
    </w:p>
    <w:p w14:paraId="52D54859" w14:textId="77777777" w:rsidR="00AA23CE" w:rsidRDefault="00AA23CE" w:rsidP="00AA23CE">
      <w:pPr>
        <w:rPr>
          <w:rFonts w:ascii="Arial" w:hAnsi="Arial" w:cs="Arial"/>
          <w:sz w:val="22"/>
          <w:szCs w:val="22"/>
          <w:lang w:val="pl-PL"/>
        </w:rPr>
      </w:pPr>
      <w:r>
        <w:rPr>
          <w:rFonts w:ascii="Arial" w:hAnsi="Arial" w:cs="Arial"/>
          <w:sz w:val="22"/>
          <w:szCs w:val="22"/>
          <w:lang w:val="pl-PL"/>
        </w:rPr>
        <w:t>– Wiemy, że ładowność jest kluczowym czynnikiem, wpływającym na produktywność firm, dlatego nowy flagowy Ford Transit jest najmocniejszym i najcięższym modelem ciężarowym, jaki kiedykolwiek zbudowaliśmy – powiedział Hans Schep, dyrektor generalny ds. pojazdów użytkowych w Ford of Europe – Wysłuchaliśmy opinii naszych partnerów, zajmujących się modyfikacjami oraz ich klientów, którzy potrzebują tej dodatkowej możliwości dla swoich firm, wszystko jedno, czy niezbędna będzie wywrotka, karetka, czy większy bus. Trwała konstrukcja i elastyczność 5-tonowego Transita sprawiają, że jest to idealny wybór bez względu na jego przeznaczenie – dodał Schep.</w:t>
      </w:r>
    </w:p>
    <w:p w14:paraId="5B456AC0" w14:textId="77777777" w:rsidR="00AA23CE" w:rsidRDefault="00AA23CE" w:rsidP="00AA23CE">
      <w:pPr>
        <w:rPr>
          <w:rFonts w:ascii="Arial" w:hAnsi="Arial" w:cs="Arial"/>
          <w:b/>
          <w:sz w:val="22"/>
          <w:szCs w:val="22"/>
          <w:lang w:val="pl-PL"/>
        </w:rPr>
      </w:pPr>
    </w:p>
    <w:p w14:paraId="111D4196" w14:textId="77777777" w:rsidR="00AA23CE" w:rsidRDefault="00AA23CE" w:rsidP="00AA23CE">
      <w:pPr>
        <w:rPr>
          <w:rFonts w:ascii="Arial" w:hAnsi="Arial" w:cs="Arial"/>
          <w:b/>
          <w:sz w:val="22"/>
          <w:szCs w:val="22"/>
          <w:lang w:val="pl-PL"/>
        </w:rPr>
      </w:pPr>
      <w:r>
        <w:rPr>
          <w:rFonts w:ascii="Arial" w:hAnsi="Arial" w:cs="Arial"/>
          <w:b/>
          <w:sz w:val="22"/>
          <w:szCs w:val="22"/>
          <w:lang w:val="pl-PL"/>
        </w:rPr>
        <w:t>Nadwozie dla każdego klienta</w:t>
      </w:r>
    </w:p>
    <w:p w14:paraId="48E2ABEA" w14:textId="77777777" w:rsidR="00AA23CE" w:rsidRDefault="00AA23CE" w:rsidP="00AA23CE">
      <w:pPr>
        <w:rPr>
          <w:rFonts w:ascii="Arial" w:hAnsi="Arial" w:cs="Arial"/>
          <w:sz w:val="22"/>
          <w:szCs w:val="22"/>
          <w:lang w:val="pl-PL"/>
        </w:rPr>
      </w:pPr>
      <w:r>
        <w:rPr>
          <w:rFonts w:ascii="Arial" w:hAnsi="Arial" w:cs="Arial"/>
          <w:sz w:val="22"/>
          <w:szCs w:val="22"/>
          <w:lang w:val="pl-PL"/>
        </w:rPr>
        <w:t xml:space="preserve">Zdolność do tworzenia modyfikacji spełniających szczególne potrzeby w firmach klientów ma często kluczowe znaczenie dla nabywców 5-tonowych samochodów dostawczych. Ford oferuje 5-tonową ciężarówkę w szerokiej gamie wersji podwozia modelu Transit z kabiną, dając klientom do wyboru trzy rozstawy osi, cztery długości ramy oraz pojedynczą lub podwójną kabinę z miejscami siedzącymi dla maksymalnie siedmiu osób (łącznie z kierowcą), co sprawia, że łatwo wybrać konfigurację najlepiej odpowiadającą specyficznym wymaganiom firmy. </w:t>
      </w:r>
    </w:p>
    <w:p w14:paraId="3D667414" w14:textId="77777777" w:rsidR="00AA23CE" w:rsidRDefault="00AA23CE" w:rsidP="00AA23CE">
      <w:pPr>
        <w:rPr>
          <w:rFonts w:ascii="Arial" w:hAnsi="Arial" w:cs="Arial"/>
          <w:sz w:val="22"/>
          <w:szCs w:val="22"/>
          <w:lang w:val="pl-PL"/>
        </w:rPr>
      </w:pPr>
    </w:p>
    <w:p w14:paraId="2A69D84F" w14:textId="3AE9FB9C" w:rsidR="00AA23CE" w:rsidRDefault="00AA23CE" w:rsidP="00AA23CE">
      <w:pPr>
        <w:rPr>
          <w:rFonts w:ascii="Arial" w:hAnsi="Arial" w:cs="Arial"/>
          <w:sz w:val="22"/>
          <w:szCs w:val="22"/>
          <w:lang w:val="pl-PL"/>
        </w:rPr>
      </w:pPr>
      <w:r>
        <w:rPr>
          <w:rFonts w:ascii="Arial" w:hAnsi="Arial" w:cs="Arial"/>
          <w:sz w:val="22"/>
          <w:szCs w:val="22"/>
          <w:lang w:val="pl-PL"/>
        </w:rPr>
        <w:t>Dopuszczalna ładowność podwozia z kabiną wynosi 2872 kg</w:t>
      </w:r>
      <w:r>
        <w:rPr>
          <w:rFonts w:ascii="Arial" w:hAnsi="Arial" w:cs="Arial"/>
          <w:sz w:val="22"/>
          <w:szCs w:val="22"/>
          <w:vertAlign w:val="superscript"/>
          <w:lang w:val="pl-PL"/>
        </w:rPr>
        <w:t>1</w:t>
      </w:r>
      <w:r>
        <w:rPr>
          <w:rFonts w:ascii="Arial" w:hAnsi="Arial" w:cs="Arial"/>
          <w:sz w:val="22"/>
          <w:szCs w:val="22"/>
          <w:lang w:val="pl-PL"/>
        </w:rPr>
        <w:t xml:space="preserve"> dla wariantów przeznaczonych do modyfikacji nadwozia oraz 2558 kg ładowności netto</w:t>
      </w:r>
      <w:r>
        <w:rPr>
          <w:rFonts w:ascii="Arial" w:hAnsi="Arial" w:cs="Arial"/>
          <w:sz w:val="22"/>
          <w:szCs w:val="22"/>
          <w:vertAlign w:val="superscript"/>
          <w:lang w:val="pl-PL"/>
        </w:rPr>
        <w:t>1</w:t>
      </w:r>
      <w:r>
        <w:rPr>
          <w:rFonts w:ascii="Arial" w:hAnsi="Arial" w:cs="Arial"/>
          <w:sz w:val="22"/>
          <w:szCs w:val="22"/>
          <w:lang w:val="pl-PL"/>
        </w:rPr>
        <w:t xml:space="preserve"> w przypadku wyposażenia w fabrycznie zamontowaną platformę. </w:t>
      </w:r>
    </w:p>
    <w:p w14:paraId="399C06BF" w14:textId="77777777" w:rsidR="00AA23CE" w:rsidRDefault="00AA23CE" w:rsidP="00AA23CE">
      <w:pPr>
        <w:rPr>
          <w:rFonts w:ascii="Arial" w:hAnsi="Arial" w:cs="Arial"/>
          <w:sz w:val="22"/>
          <w:szCs w:val="22"/>
          <w:lang w:val="pl-PL"/>
        </w:rPr>
      </w:pPr>
    </w:p>
    <w:p w14:paraId="31BBA222" w14:textId="77777777" w:rsidR="00AA23CE" w:rsidRDefault="00AA23CE" w:rsidP="00AA23CE">
      <w:pPr>
        <w:rPr>
          <w:rFonts w:ascii="Arial" w:hAnsi="Arial" w:cs="Arial"/>
          <w:sz w:val="22"/>
          <w:szCs w:val="22"/>
          <w:lang w:val="pl-PL"/>
        </w:rPr>
      </w:pPr>
      <w:r>
        <w:rPr>
          <w:rFonts w:ascii="Arial" w:hAnsi="Arial" w:cs="Arial"/>
          <w:sz w:val="22"/>
          <w:szCs w:val="22"/>
          <w:lang w:val="pl-PL"/>
        </w:rPr>
        <w:t>Wersja podwozia z kabiną jest idealna do bardziej zaawansowanych modyfikacji z odkrytym nadwoziem, jak wywrotki tylnozsypowe lub bocznozsypowe, podnośniki koszowe i lawety. Wyższa dopuszczalna masa całkowita i opcjonalna, 10-biegowa automatyczna skrzynia biegów sprawiają, że podwozie z pojedynczą kabiną 5-tonowego Transita jest użyteczną bazą do modyfikacji na karetki pogotowia i policyjne pojazdy dostawcze lub mobilne centra dowodzenia i kontroli. Gama podwozi z kabiną nadaje się również do modyfikacji na minibusy i pojemne pojazdy komunikacji, przystosowane do przewozu pasażerów z wózkami inwalidzkimi, w których zwiększona dopuszczalna ładowność i nacisk na osie zmniejszają ryzyko przeciążenia pojazdów podczas eksploatacji.</w:t>
      </w:r>
    </w:p>
    <w:p w14:paraId="0647B68A" w14:textId="77777777" w:rsidR="00AA23CE" w:rsidRDefault="00AA23CE" w:rsidP="00AA23CE">
      <w:pPr>
        <w:rPr>
          <w:rFonts w:ascii="Arial" w:hAnsi="Arial" w:cs="Arial"/>
          <w:sz w:val="22"/>
          <w:szCs w:val="22"/>
          <w:lang w:val="pl-PL"/>
        </w:rPr>
      </w:pPr>
    </w:p>
    <w:p w14:paraId="08328ADA" w14:textId="77777777" w:rsidR="00AA23CE" w:rsidRDefault="00AA23CE" w:rsidP="00AA23CE">
      <w:pPr>
        <w:rPr>
          <w:rFonts w:ascii="Arial" w:hAnsi="Arial" w:cs="Arial"/>
          <w:sz w:val="22"/>
          <w:szCs w:val="22"/>
          <w:lang w:val="pl-PL"/>
        </w:rPr>
      </w:pPr>
      <w:r>
        <w:rPr>
          <w:rFonts w:ascii="Arial" w:hAnsi="Arial" w:cs="Arial"/>
          <w:sz w:val="22"/>
          <w:szCs w:val="22"/>
          <w:lang w:val="pl-PL"/>
        </w:rPr>
        <w:t>Pięciotonowy Transit jest również dostępny jako popularny zabudowany van „Jumbo” L4 z wysokim dachem, o ładowności netto do 2347 kg</w:t>
      </w:r>
      <w:r>
        <w:rPr>
          <w:rFonts w:ascii="Arial" w:hAnsi="Arial" w:cs="Arial"/>
          <w:sz w:val="22"/>
          <w:szCs w:val="22"/>
          <w:vertAlign w:val="superscript"/>
          <w:lang w:val="pl-PL"/>
        </w:rPr>
        <w:t>1</w:t>
      </w:r>
      <w:r>
        <w:rPr>
          <w:rFonts w:ascii="Arial" w:hAnsi="Arial" w:cs="Arial"/>
          <w:sz w:val="22"/>
          <w:szCs w:val="22"/>
          <w:lang w:val="pl-PL"/>
        </w:rPr>
        <w:t>, przestrzeni ładunkowej o pojemności 15,1 m</w:t>
      </w:r>
      <w:r>
        <w:rPr>
          <w:rFonts w:ascii="Arial" w:hAnsi="Arial" w:cs="Arial"/>
          <w:sz w:val="22"/>
          <w:szCs w:val="22"/>
          <w:vertAlign w:val="superscript"/>
          <w:lang w:val="pl-PL"/>
        </w:rPr>
        <w:t>3</w:t>
      </w:r>
      <w:r>
        <w:rPr>
          <w:rFonts w:ascii="Arial" w:hAnsi="Arial" w:cs="Arial"/>
          <w:sz w:val="22"/>
          <w:szCs w:val="22"/>
          <w:lang w:val="pl-PL"/>
        </w:rPr>
        <w:t xml:space="preserve"> i wystarczającej powierzchni do przewożenia pięciu europalet z ładunkiem. Nowe, wzmocnione burty podnoszą wytrzymałość nadwozia podczas przewożenia cięższych ładunków; zachowano również takie elementy jak: dostępna płaska podłoga ładunkowa, punkty mocowania, schodek w zintegrowanym tylnym zderzaku. Długość przestrzeni ładunkowej 4217 mm ułatwia załadunek i przewożenie przedmiotów o standardowej długości, takich jak rury lub deski. Zabudowany Transit sprawdza się również jako baza cięższych adaptacji, m.in. samochodów policyjnych, służb i usług budowlanych.</w:t>
      </w:r>
    </w:p>
    <w:p w14:paraId="160581F3" w14:textId="77777777" w:rsidR="00AA23CE" w:rsidRDefault="00AA23CE" w:rsidP="00AA23CE">
      <w:pPr>
        <w:rPr>
          <w:rFonts w:ascii="Arial" w:hAnsi="Arial" w:cs="Arial"/>
          <w:sz w:val="22"/>
          <w:szCs w:val="22"/>
          <w:lang w:val="pl-PL"/>
        </w:rPr>
      </w:pPr>
    </w:p>
    <w:p w14:paraId="6C56F5F5" w14:textId="77777777" w:rsidR="00AA23CE" w:rsidRDefault="00AA23CE" w:rsidP="00AA23CE">
      <w:pPr>
        <w:rPr>
          <w:rFonts w:ascii="Arial" w:hAnsi="Arial" w:cs="Arial"/>
          <w:sz w:val="22"/>
          <w:szCs w:val="22"/>
          <w:lang w:val="pl-PL"/>
        </w:rPr>
      </w:pPr>
      <w:r>
        <w:rPr>
          <w:rFonts w:ascii="Arial" w:hAnsi="Arial" w:cs="Arial"/>
          <w:sz w:val="22"/>
          <w:szCs w:val="22"/>
          <w:lang w:val="pl-PL"/>
        </w:rPr>
        <w:t>Klienci wymagający niestandardowych rozwiązań projektowych mogą skorzystać z rozbudowanej sieci Ford Qualified Vehicle Modifier (QVM), obejmującej 165 akredytowanych firm specjalizujących się w modyfikacji pojazdów w 13 krajach, które spełniają standardy Forda dotyczące produkcji, kontroli jakości i obsługi klienta. Wszystkie firmy należące do QVM oferują jakość, pozwalającą na zachowanie standardowej gwarancji firmy Ford, a także zapewniają wysoką kulturę pomocy technicznej.</w:t>
      </w:r>
    </w:p>
    <w:p w14:paraId="5F26980F" w14:textId="77777777" w:rsidR="00AA23CE" w:rsidRDefault="00AA23CE" w:rsidP="00AA23CE">
      <w:pPr>
        <w:rPr>
          <w:rFonts w:ascii="Arial" w:hAnsi="Arial" w:cs="Arial"/>
          <w:sz w:val="21"/>
          <w:szCs w:val="21"/>
          <w:lang w:val="pl-PL"/>
        </w:rPr>
      </w:pPr>
    </w:p>
    <w:p w14:paraId="66A4728E" w14:textId="77777777" w:rsidR="00AA23CE" w:rsidRDefault="00AA23CE" w:rsidP="00AA23CE">
      <w:pPr>
        <w:rPr>
          <w:rFonts w:ascii="Arial" w:hAnsi="Arial" w:cs="Arial"/>
          <w:sz w:val="22"/>
          <w:szCs w:val="22"/>
          <w:lang w:val="pl-PL"/>
        </w:rPr>
      </w:pPr>
      <w:r>
        <w:rPr>
          <w:rFonts w:ascii="Arial" w:hAnsi="Arial" w:cs="Arial"/>
          <w:sz w:val="22"/>
          <w:szCs w:val="22"/>
          <w:lang w:val="pl-PL"/>
        </w:rPr>
        <w:t xml:space="preserve">Właściciele pojazdów poddanych konwersji mogą także korzystać ze wsparcia zespołu inżynierów działu pojazdów specjalnych Forda, którzy osobiście lub zdalnie mogą pomóc w projektowaniu pojazdów na zamówienie i utrzymaniu ich w dobrej kondycji, wydłużając ich okres sprawności i zmniejszając nakłady pracy właścicieli. </w:t>
      </w:r>
    </w:p>
    <w:p w14:paraId="4DCB9C22" w14:textId="77777777" w:rsidR="00AA23CE" w:rsidRDefault="00AA23CE" w:rsidP="00AA23CE">
      <w:pPr>
        <w:rPr>
          <w:rFonts w:ascii="Arial" w:hAnsi="Arial" w:cs="Arial"/>
          <w:sz w:val="22"/>
          <w:szCs w:val="22"/>
          <w:lang w:val="pl-PL"/>
        </w:rPr>
      </w:pPr>
    </w:p>
    <w:p w14:paraId="2BA86E50" w14:textId="77777777" w:rsidR="00AA23CE" w:rsidRDefault="00AA23CE" w:rsidP="00AA23CE">
      <w:pPr>
        <w:rPr>
          <w:rFonts w:ascii="Arial" w:hAnsi="Arial" w:cs="Arial"/>
          <w:b/>
          <w:sz w:val="22"/>
          <w:szCs w:val="22"/>
          <w:lang w:val="pl-PL"/>
        </w:rPr>
      </w:pPr>
    </w:p>
    <w:p w14:paraId="1731A96F" w14:textId="1E7FE607" w:rsidR="00AA23CE" w:rsidRDefault="00AA23CE" w:rsidP="00AA23CE">
      <w:pPr>
        <w:rPr>
          <w:rFonts w:ascii="Arial" w:hAnsi="Arial" w:cs="Arial"/>
          <w:b/>
          <w:sz w:val="22"/>
          <w:szCs w:val="22"/>
          <w:lang w:val="pl-PL"/>
        </w:rPr>
      </w:pPr>
      <w:r>
        <w:rPr>
          <w:rFonts w:ascii="Arial" w:hAnsi="Arial" w:cs="Arial"/>
          <w:b/>
          <w:sz w:val="22"/>
          <w:szCs w:val="22"/>
          <w:lang w:val="pl-PL"/>
        </w:rPr>
        <w:t>Udoskonalenia mechaniczne podnoszące wydajność</w:t>
      </w:r>
    </w:p>
    <w:p w14:paraId="673DBC12" w14:textId="779CCFBF" w:rsidR="00AA23CE" w:rsidRDefault="00AA23CE" w:rsidP="00AA23CE">
      <w:pPr>
        <w:rPr>
          <w:rFonts w:ascii="Arial" w:hAnsi="Arial" w:cs="Arial"/>
          <w:sz w:val="22"/>
          <w:szCs w:val="22"/>
          <w:lang w:val="pl-PL"/>
        </w:rPr>
      </w:pPr>
      <w:r>
        <w:rPr>
          <w:rFonts w:ascii="Arial" w:hAnsi="Arial" w:cs="Arial"/>
          <w:sz w:val="22"/>
          <w:szCs w:val="22"/>
          <w:lang w:val="pl-PL"/>
        </w:rPr>
        <w:t>Wszystkie 5-tonowe warianty Transita są wyposażone w napęd na tylne koła, zapewniający optymalną trakcję przy pełnym załadunku, a układ napędowy Forda HDT gwarantuje wysoką wytrzymałość, osiągi i oszczędność paliwa. 2,0-litrowy silnik wysokoprężny Ford EcoBlue o mocy 170 KM generuje maksymalny moment obrotowy 405 Nm, niezbędny do bezproblemowego przewozu ciężkich ładunków. Układ obsługuje jedna z dwóch dostępnych przekładni: płynnie działająca, sześciobiegowa skrzynia manualna lub wiodącą w swojej klasie, 10-stopniowa, automatyczna skrzynią biegów Forda.</w:t>
      </w:r>
    </w:p>
    <w:p w14:paraId="2AD598F9" w14:textId="55DAC6AD" w:rsidR="00AA23CE" w:rsidRDefault="00AA23CE" w:rsidP="00AA23CE">
      <w:pPr>
        <w:pStyle w:val="NormalnyWeb"/>
        <w:shd w:val="clear" w:color="auto" w:fill="FFFFFF"/>
        <w:spacing w:after="150"/>
        <w:rPr>
          <w:rFonts w:ascii="Arial" w:hAnsi="Arial" w:cs="Arial"/>
          <w:sz w:val="22"/>
          <w:szCs w:val="22"/>
          <w:lang w:val="pl-PL"/>
        </w:rPr>
      </w:pPr>
      <w:r>
        <w:rPr>
          <w:rFonts w:ascii="Arial" w:hAnsi="Arial" w:cs="Arial"/>
          <w:sz w:val="22"/>
          <w:szCs w:val="22"/>
          <w:lang w:val="pl-PL"/>
        </w:rPr>
        <w:t>Większa liczba przełożeń w 10-biegowej przekładni automatycznej oznacza, że silnik EcoBlue Transita może zbliżyć się do swojej maksymalnej wydajności i zapewniać kierowcy wrażenia szybszych reakcji podczas jazdy. Adaptacyjne algorytmy przełączania, działające w czasie rzeczywistym, które pozwalają przekładni dostosować się do zmiennych warunków, sprawiają, że zawsze wybierane jest optymalne przełożenie, uwzględniające osiągi, zużycie paliwa i kulturę pracy, niezależnie od sposobu jazdy.</w:t>
      </w:r>
    </w:p>
    <w:p w14:paraId="5F5A5D0D" w14:textId="77777777" w:rsidR="00AA23CE" w:rsidRDefault="00AA23CE" w:rsidP="00AA23CE">
      <w:pPr>
        <w:pStyle w:val="NormalnyWeb"/>
        <w:shd w:val="clear" w:color="auto" w:fill="FFFFFF"/>
        <w:spacing w:after="150"/>
        <w:rPr>
          <w:rFonts w:ascii="Arial" w:hAnsi="Arial" w:cs="Arial"/>
          <w:sz w:val="22"/>
          <w:szCs w:val="22"/>
          <w:lang w:val="pl-PL"/>
        </w:rPr>
      </w:pPr>
      <w:r>
        <w:rPr>
          <w:rFonts w:ascii="Arial" w:hAnsi="Arial" w:cs="Arial"/>
          <w:sz w:val="22"/>
          <w:szCs w:val="22"/>
          <w:lang w:val="pl-PL"/>
        </w:rPr>
        <w:t xml:space="preserve">Wyższa dopuszczalna ładowność 5-tonowego Transita wymogła udoskonalenie elementów mechanicznych, dzięki czemu pojazd zyskał dodatkowe możliwości przy zachowaniu łatwości eksploatacji. Podwozie zyskało zmodernizowane zespoły piast, nowe koła i szersze tylne opony o średnicy 205 mm, a także nowe hamulce o większej skuteczności na tylnej osi, co ułatwia jazdę z większymi ładunkami. Wersje zabudowane otrzymały wzmocnienie górnej części nadwozia i osprzęt pomocniczy, pomagający w utrzymaniu większego ładunku. </w:t>
      </w:r>
    </w:p>
    <w:p w14:paraId="28B09856" w14:textId="77777777" w:rsidR="00AA23CE" w:rsidRDefault="00AA23CE" w:rsidP="00AA23CE">
      <w:pPr>
        <w:rPr>
          <w:rFonts w:ascii="Arial" w:hAnsi="Arial" w:cs="Arial"/>
          <w:b/>
          <w:sz w:val="22"/>
          <w:szCs w:val="22"/>
          <w:lang w:val="pl-PL"/>
        </w:rPr>
      </w:pPr>
      <w:r>
        <w:rPr>
          <w:rFonts w:ascii="Arial" w:hAnsi="Arial" w:cs="Arial"/>
          <w:sz w:val="22"/>
          <w:szCs w:val="22"/>
          <w:lang w:val="pl-PL"/>
        </w:rPr>
        <w:t>Ponadto 5-tonowy Transit po raz pierwszy w Europie dostępny będzie ze wzmocnioną tylną osią o maksymalnym nacisku 3500 kg, która już dowiodła swojej solidności i trwałości w modelach Transita, sprzedawanych na rynku północnoamerykańskim. W wersjach z 10-biegową automatyczną skrzynią biegów montowana jest również nowa oś przednia o nominalnym dopuszczalnym nacisku 2100 kg, która zapewnia dodatkowe 225 kg nośności w stosunku do wersji standardowej.</w:t>
      </w:r>
    </w:p>
    <w:p w14:paraId="19D0E234" w14:textId="77777777" w:rsidR="00AA23CE" w:rsidRDefault="00AA23CE" w:rsidP="00AA23CE">
      <w:pPr>
        <w:rPr>
          <w:rFonts w:ascii="Arial" w:hAnsi="Arial" w:cs="Arial"/>
          <w:b/>
          <w:sz w:val="22"/>
          <w:szCs w:val="22"/>
          <w:lang w:val="pl-PL"/>
        </w:rPr>
      </w:pPr>
    </w:p>
    <w:p w14:paraId="7D8298E3" w14:textId="77777777" w:rsidR="00AA23CE" w:rsidRDefault="00AA23CE" w:rsidP="00AA23CE">
      <w:pPr>
        <w:rPr>
          <w:rFonts w:ascii="Arial" w:hAnsi="Arial" w:cs="Arial"/>
          <w:b/>
          <w:sz w:val="22"/>
          <w:szCs w:val="22"/>
          <w:lang w:val="pl-PL"/>
        </w:rPr>
      </w:pPr>
      <w:r>
        <w:rPr>
          <w:rFonts w:ascii="Arial" w:hAnsi="Arial" w:cs="Arial"/>
          <w:b/>
          <w:sz w:val="22"/>
          <w:szCs w:val="22"/>
          <w:lang w:val="pl-PL"/>
        </w:rPr>
        <w:t>Łatwy w prowadzeniu i utrzymaniu</w:t>
      </w:r>
    </w:p>
    <w:p w14:paraId="16303EEB" w14:textId="77777777" w:rsidR="00AA23CE" w:rsidRDefault="00AA23CE" w:rsidP="00AA23CE">
      <w:pPr>
        <w:rPr>
          <w:rFonts w:ascii="Arial" w:hAnsi="Arial" w:cs="Arial"/>
          <w:sz w:val="22"/>
          <w:szCs w:val="22"/>
          <w:lang w:val="pl-PL"/>
        </w:rPr>
      </w:pPr>
      <w:r>
        <w:rPr>
          <w:rFonts w:ascii="Arial" w:hAnsi="Arial" w:cs="Arial"/>
          <w:sz w:val="22"/>
          <w:szCs w:val="22"/>
          <w:lang w:val="pl-PL"/>
        </w:rPr>
        <w:t>Nowy 5-tonowy Transit korzysta z zaawansowanych systemów bezpieczeństwa, łączności i wspomagania kierowcy, które zostały wprowadzone do rodziny Transita pod koniec 2019 roku.</w:t>
      </w:r>
    </w:p>
    <w:p w14:paraId="53EA79FD" w14:textId="77777777" w:rsidR="00AA23CE" w:rsidRDefault="00AA23CE" w:rsidP="00AA23CE">
      <w:pPr>
        <w:rPr>
          <w:rFonts w:ascii="Arial" w:hAnsi="Arial" w:cs="Arial"/>
          <w:sz w:val="22"/>
          <w:szCs w:val="22"/>
          <w:lang w:val="pl-PL"/>
        </w:rPr>
      </w:pPr>
    </w:p>
    <w:p w14:paraId="6556B6B9" w14:textId="77777777" w:rsidR="00AA23CE" w:rsidRDefault="00AA23CE" w:rsidP="00AA23CE">
      <w:pPr>
        <w:rPr>
          <w:rFonts w:ascii="Arial" w:hAnsi="Arial" w:cs="Arial"/>
          <w:sz w:val="22"/>
          <w:szCs w:val="22"/>
          <w:lang w:val="pl-PL"/>
        </w:rPr>
      </w:pPr>
      <w:r>
        <w:rPr>
          <w:rFonts w:ascii="Arial" w:hAnsi="Arial" w:cs="Arial"/>
          <w:sz w:val="22"/>
          <w:szCs w:val="22"/>
          <w:lang w:val="pl-PL"/>
        </w:rPr>
        <w:t>Obejmują one system komunikacji i rozrywki Ford SYNC 3,</w:t>
      </w:r>
      <w:r>
        <w:rPr>
          <w:rFonts w:ascii="Arial" w:hAnsi="Arial" w:cs="Arial"/>
          <w:sz w:val="22"/>
          <w:szCs w:val="22"/>
          <w:vertAlign w:val="superscript"/>
          <w:lang w:val="pl-PL"/>
        </w:rPr>
        <w:t>2</w:t>
      </w:r>
      <w:r>
        <w:rPr>
          <w:rFonts w:ascii="Arial" w:hAnsi="Arial" w:cs="Arial"/>
          <w:sz w:val="22"/>
          <w:szCs w:val="22"/>
          <w:lang w:val="pl-PL"/>
        </w:rPr>
        <w:t xml:space="preserve"> elektronicznie sterowany układ wspomagania kierownicy, który umożliwia korzystanie z takich systemów, jak asystent wspomagający parkowanie</w:t>
      </w:r>
      <w:r>
        <w:rPr>
          <w:rFonts w:ascii="Arial" w:hAnsi="Arial" w:cs="Arial"/>
          <w:sz w:val="22"/>
          <w:szCs w:val="22"/>
          <w:vertAlign w:val="superscript"/>
          <w:lang w:val="pl-PL"/>
        </w:rPr>
        <w:t>3</w:t>
      </w:r>
      <w:r>
        <w:rPr>
          <w:rFonts w:ascii="Arial" w:hAnsi="Arial" w:cs="Arial"/>
          <w:sz w:val="22"/>
          <w:szCs w:val="22"/>
          <w:lang w:val="pl-PL"/>
        </w:rPr>
        <w:t xml:space="preserve"> i system utrzymania auta na pasie ruchu</w:t>
      </w:r>
      <w:r>
        <w:rPr>
          <w:rFonts w:ascii="Arial" w:hAnsi="Arial" w:cs="Arial"/>
          <w:sz w:val="22"/>
          <w:szCs w:val="22"/>
          <w:vertAlign w:val="superscript"/>
          <w:lang w:val="pl-PL"/>
        </w:rPr>
        <w:t>3</w:t>
      </w:r>
      <w:r>
        <w:rPr>
          <w:rFonts w:ascii="Arial" w:hAnsi="Arial" w:cs="Arial"/>
          <w:sz w:val="22"/>
          <w:szCs w:val="22"/>
          <w:lang w:val="pl-PL"/>
        </w:rPr>
        <w:t xml:space="preserve"> oraz nowy moduł interfejsowy (Upfitter Interface Module). Moduł ten, w przypadku wyposażenia pojazdu w elementy lub urządzenia specjalistyczne, pozwala na pobieranie przez nie danych z układów elektrycznych Transita, podnosząc bezpieczeństwo i wydajność - na przykład nie zezwalając na działanie wywrotki, przed unieruchomieniem pojazdu i załączeniem hamulca ręcznego. </w:t>
      </w:r>
    </w:p>
    <w:p w14:paraId="4AACD2EA" w14:textId="77777777" w:rsidR="00AA23CE" w:rsidRDefault="00AA23CE" w:rsidP="00AA23CE">
      <w:pPr>
        <w:rPr>
          <w:rFonts w:ascii="Arial" w:hAnsi="Arial" w:cs="Arial"/>
          <w:sz w:val="22"/>
          <w:szCs w:val="22"/>
          <w:lang w:val="pl-PL"/>
        </w:rPr>
      </w:pPr>
    </w:p>
    <w:p w14:paraId="63243093" w14:textId="77777777" w:rsidR="00AA23CE" w:rsidRDefault="00AA23CE" w:rsidP="00AA23CE">
      <w:pPr>
        <w:rPr>
          <w:rFonts w:ascii="Arial" w:hAnsi="Arial" w:cs="Arial"/>
          <w:sz w:val="22"/>
          <w:szCs w:val="22"/>
          <w:lang w:val="pl-PL"/>
        </w:rPr>
      </w:pPr>
      <w:r>
        <w:rPr>
          <w:rFonts w:ascii="Arial" w:hAnsi="Arial" w:cs="Arial"/>
          <w:sz w:val="22"/>
          <w:szCs w:val="22"/>
          <w:lang w:val="pl-PL"/>
        </w:rPr>
        <w:t>Innowacyjne systemy komunikacji Forda pomagają również operatorom w planowaniu przeglądów i nadzorowaniu bezpieczeństwa pojazdu, co wydłuża ich produktywność. Modem FordPass Connect</w:t>
      </w:r>
      <w:r>
        <w:rPr>
          <w:rFonts w:ascii="Arial" w:hAnsi="Arial" w:cs="Arial"/>
          <w:sz w:val="22"/>
          <w:szCs w:val="22"/>
          <w:vertAlign w:val="superscript"/>
          <w:lang w:val="pl-PL"/>
        </w:rPr>
        <w:t>4</w:t>
      </w:r>
      <w:r>
        <w:rPr>
          <w:rFonts w:ascii="Arial" w:hAnsi="Arial" w:cs="Arial"/>
          <w:sz w:val="22"/>
          <w:szCs w:val="22"/>
          <w:lang w:val="pl-PL"/>
        </w:rPr>
        <w:t xml:space="preserve"> oferowany jako wyposażenie standardowe, umożliwia bezprzewodowe aktualizacje oprogramowania pojazdu ograniczając wizyty w serwisach. Daje też, za pośrednictwem aplikacji FordPass Pro</w:t>
      </w:r>
      <w:r>
        <w:rPr>
          <w:rFonts w:ascii="Arial" w:hAnsi="Arial" w:cs="Arial"/>
          <w:sz w:val="22"/>
          <w:szCs w:val="22"/>
          <w:vertAlign w:val="superscript"/>
          <w:lang w:val="pl-PL"/>
        </w:rPr>
        <w:t>5</w:t>
      </w:r>
      <w:r>
        <w:rPr>
          <w:rFonts w:ascii="Arial" w:hAnsi="Arial" w:cs="Arial"/>
          <w:sz w:val="22"/>
          <w:szCs w:val="22"/>
          <w:lang w:val="pl-PL"/>
        </w:rPr>
        <w:t>, dostęp do wielu ważnych informacji on-line, takich jak lokalizacja pojazdu, konieczność wymiany oleju i ciśnienie w oponach, co znacznie upraszcza zarządzanie pojazdem. Operatorzy większych flot mogą dzięki FordPass Connect korzystać z danych systemu Ford Telematics, dotyczących pojazdów Forda tej samej klasy, co ułatwia efektywne zarządzanie flotą.</w:t>
      </w:r>
    </w:p>
    <w:p w14:paraId="7E6861DF" w14:textId="77777777" w:rsidR="00AA23CE" w:rsidRDefault="00AA23CE" w:rsidP="00AA23CE">
      <w:pPr>
        <w:rPr>
          <w:rFonts w:ascii="Arial" w:hAnsi="Arial" w:cs="Arial"/>
          <w:sz w:val="22"/>
          <w:szCs w:val="22"/>
          <w:lang w:val="pl-PL"/>
        </w:rPr>
      </w:pPr>
    </w:p>
    <w:p w14:paraId="057FAC7D" w14:textId="77777777" w:rsidR="00AA23CE" w:rsidRDefault="00AA23CE" w:rsidP="00AA23CE">
      <w:pPr>
        <w:jc w:val="center"/>
        <w:rPr>
          <w:rFonts w:ascii="Arial" w:hAnsi="Arial" w:cs="Arial"/>
          <w:sz w:val="22"/>
          <w:szCs w:val="22"/>
          <w:lang w:val="pl-PL"/>
        </w:rPr>
      </w:pPr>
      <w:r>
        <w:rPr>
          <w:rFonts w:ascii="Arial" w:hAnsi="Arial" w:cs="Arial"/>
          <w:sz w:val="22"/>
          <w:szCs w:val="22"/>
          <w:lang w:val="pl-PL"/>
        </w:rPr>
        <w:t># # #</w:t>
      </w:r>
    </w:p>
    <w:p w14:paraId="0E08F049" w14:textId="77777777" w:rsidR="00AA23CE" w:rsidRDefault="00AA23CE" w:rsidP="00AA23CE">
      <w:pPr>
        <w:jc w:val="center"/>
        <w:rPr>
          <w:rFonts w:ascii="Arial" w:hAnsi="Arial" w:cs="Arial"/>
          <w:sz w:val="22"/>
          <w:szCs w:val="22"/>
          <w:lang w:val="pl-PL"/>
        </w:rPr>
      </w:pPr>
    </w:p>
    <w:p w14:paraId="07F6CED4" w14:textId="77777777" w:rsidR="00AA23CE" w:rsidRDefault="00AA23CE" w:rsidP="00AA23CE">
      <w:pPr>
        <w:pStyle w:val="Akapitzlist"/>
        <w:ind w:left="0"/>
        <w:rPr>
          <w:rFonts w:ascii="Arial" w:hAnsi="Arial" w:cs="Arial"/>
          <w:lang w:val="pl-PL"/>
        </w:rPr>
      </w:pPr>
      <w:r>
        <w:rPr>
          <w:rFonts w:ascii="Arial" w:hAnsi="Arial" w:cs="Arial"/>
          <w:vertAlign w:val="superscript"/>
          <w:lang w:val="pl-PL"/>
        </w:rPr>
        <w:t>1</w:t>
      </w:r>
      <w:r>
        <w:rPr>
          <w:rFonts w:ascii="Arial" w:hAnsi="Arial" w:cs="Arial"/>
          <w:lang w:val="pl-PL"/>
        </w:rPr>
        <w:t xml:space="preserve"> Wszystkie podane informacje dotyczące ładowności odnoszą się do ładowności netto, która przyjmuje dla kierowcy wagę 75 kg. Masa przewożonych ładunków ograniczona jest dopuszczalną masą pojazdu i rozkładem tej masy na osie.</w:t>
      </w:r>
    </w:p>
    <w:p w14:paraId="2269583C" w14:textId="77777777" w:rsidR="00AA23CE" w:rsidRDefault="00AA23CE" w:rsidP="00AA23CE">
      <w:pPr>
        <w:pStyle w:val="Akapitzlist"/>
        <w:ind w:left="0"/>
        <w:rPr>
          <w:rFonts w:ascii="Arial" w:hAnsi="Arial" w:cs="Arial"/>
          <w:lang w:val="pl-PL"/>
        </w:rPr>
      </w:pPr>
    </w:p>
    <w:p w14:paraId="3E6AB8A2" w14:textId="77777777" w:rsidR="00AA23CE" w:rsidRDefault="00AA23CE" w:rsidP="00AA23CE">
      <w:pPr>
        <w:pStyle w:val="NormalnyWeb"/>
        <w:shd w:val="clear" w:color="auto" w:fill="FFFFFF"/>
        <w:spacing w:after="150"/>
        <w:rPr>
          <w:rFonts w:ascii="Arial" w:hAnsi="Arial" w:cs="Arial"/>
          <w:sz w:val="20"/>
          <w:lang w:val="pl-PL"/>
        </w:rPr>
      </w:pPr>
      <w:r>
        <w:rPr>
          <w:rFonts w:ascii="Arial" w:hAnsi="Arial" w:cs="Arial"/>
          <w:sz w:val="20"/>
          <w:vertAlign w:val="superscript"/>
          <w:lang w:val="pl-PL"/>
        </w:rPr>
        <w:t>2</w:t>
      </w:r>
      <w:r>
        <w:rPr>
          <w:rFonts w:ascii="Arial" w:hAnsi="Arial" w:cs="Arial"/>
          <w:sz w:val="20"/>
          <w:lang w:val="pl-PL"/>
        </w:rPr>
        <w:t xml:space="preserve"> Nie prowadź samochodu, gdy jesteś zdekoncentrowany. W miarę możliwości korzystaj z systemów sterowania głosem; bez nich nie korzystaj z urządzeń mobilnych podczas jazdy. Niektóre systemy mogą nie być dostępne, kiedy pojazd znajduje się w ruchu. Nie wszystkie systemy są kompatybilne ze wszystkimi telefonami</w:t>
      </w:r>
    </w:p>
    <w:p w14:paraId="1F39F998" w14:textId="77777777" w:rsidR="00AA23CE" w:rsidRDefault="00AA23CE" w:rsidP="00AA23CE">
      <w:pPr>
        <w:pStyle w:val="NormalnyWeb"/>
        <w:shd w:val="clear" w:color="auto" w:fill="FFFFFF"/>
        <w:spacing w:after="150"/>
        <w:rPr>
          <w:rFonts w:ascii="Arial" w:hAnsi="Arial" w:cs="Arial"/>
          <w:sz w:val="20"/>
          <w:lang w:val="pl-PL"/>
        </w:rPr>
      </w:pPr>
      <w:r>
        <w:rPr>
          <w:rFonts w:ascii="Arial" w:hAnsi="Arial" w:cs="Arial"/>
          <w:sz w:val="20"/>
          <w:vertAlign w:val="superscript"/>
          <w:lang w:val="pl-PL"/>
        </w:rPr>
        <w:t>3</w:t>
      </w:r>
      <w:r>
        <w:rPr>
          <w:rFonts w:ascii="Arial" w:hAnsi="Arial" w:cs="Arial"/>
          <w:sz w:val="20"/>
          <w:lang w:val="pl-PL"/>
        </w:rPr>
        <w:t>Systemy asystenckie wspomagające kierowcę są uzupełnieniem jego uwagi, ale nie zastępują oceny sytuacji i konieczności kontrolowania pojazdu przez kierowcę. System dostępny zależnie od specyfikacji pojazdu.</w:t>
      </w:r>
    </w:p>
    <w:p w14:paraId="0E28EE6D" w14:textId="77777777" w:rsidR="00AA23CE" w:rsidRDefault="00AA23CE" w:rsidP="00AA23CE">
      <w:pPr>
        <w:pStyle w:val="NormalnyWeb"/>
        <w:shd w:val="clear" w:color="auto" w:fill="FFFFFF"/>
        <w:spacing w:after="150"/>
        <w:rPr>
          <w:rFonts w:ascii="Arial" w:hAnsi="Arial" w:cs="Arial"/>
          <w:sz w:val="20"/>
          <w:lang w:val="pl-PL"/>
        </w:rPr>
      </w:pPr>
      <w:r>
        <w:rPr>
          <w:rFonts w:ascii="Arial" w:hAnsi="Arial" w:cs="Arial"/>
          <w:sz w:val="20"/>
          <w:vertAlign w:val="superscript"/>
          <w:lang w:val="pl-PL"/>
        </w:rPr>
        <w:t>4</w:t>
      </w:r>
      <w:r>
        <w:rPr>
          <w:rFonts w:ascii="Arial" w:hAnsi="Arial" w:cs="Arial"/>
          <w:sz w:val="20"/>
          <w:lang w:val="pl-PL"/>
        </w:rPr>
        <w:t>Systemy mogą wymagać aktywacji.</w:t>
      </w:r>
    </w:p>
    <w:p w14:paraId="534F7389" w14:textId="77777777" w:rsidR="00AA23CE" w:rsidRDefault="00AA23CE" w:rsidP="00AA23CE">
      <w:pPr>
        <w:pStyle w:val="NormalnyWeb"/>
        <w:shd w:val="clear" w:color="auto" w:fill="FFFFFF"/>
        <w:spacing w:after="150"/>
        <w:rPr>
          <w:rFonts w:ascii="Arial" w:hAnsi="Arial" w:cs="Arial"/>
          <w:sz w:val="20"/>
          <w:lang w:val="pl-PL"/>
        </w:rPr>
      </w:pPr>
      <w:r>
        <w:rPr>
          <w:rFonts w:ascii="Arial" w:hAnsi="Arial" w:cs="Arial"/>
          <w:color w:val="333333"/>
          <w:sz w:val="21"/>
          <w:szCs w:val="21"/>
          <w:shd w:val="clear" w:color="auto" w:fill="FFFFFF"/>
          <w:vertAlign w:val="superscript"/>
          <w:lang w:val="pl-PL"/>
        </w:rPr>
        <w:t>5</w:t>
      </w:r>
      <w:r>
        <w:rPr>
          <w:rFonts w:ascii="Arial" w:hAnsi="Arial" w:cs="Arial"/>
          <w:sz w:val="20"/>
          <w:lang w:val="pl-PL"/>
        </w:rPr>
        <w:t>Dostępna do pobrania jest aplikacja FordPass Pro, kompatybilna z wybranymi systemami operacyjnymi smartfonów. Za przesyłanie wiadomości i danych mogą obowiązywać dodatkowe opłaty.</w:t>
      </w:r>
    </w:p>
    <w:p w14:paraId="2A10217E" w14:textId="77777777" w:rsidR="00AA23CE" w:rsidRDefault="00AA23CE" w:rsidP="00AA23CE">
      <w:pPr>
        <w:pStyle w:val="Akapitzlist"/>
        <w:ind w:left="0"/>
        <w:rPr>
          <w:rFonts w:ascii="Arial" w:hAnsi="Arial" w:cs="Arial"/>
          <w:lang w:val="pl-PL"/>
        </w:rPr>
      </w:pPr>
      <w:r>
        <w:rPr>
          <w:rFonts w:ascii="Arial" w:hAnsi="Arial" w:cs="Arial"/>
          <w:lang w:val="pl-PL"/>
        </w:rPr>
        <w:t>Emisja CO</w:t>
      </w:r>
      <w:r>
        <w:rPr>
          <w:rFonts w:ascii="Arial" w:hAnsi="Arial" w:cs="Arial"/>
          <w:vertAlign w:val="subscript"/>
          <w:lang w:val="pl-PL"/>
        </w:rPr>
        <w:t>2</w:t>
      </w:r>
      <w:r>
        <w:rPr>
          <w:rFonts w:ascii="Arial" w:hAnsi="Arial" w:cs="Arial"/>
          <w:lang w:val="pl-PL"/>
        </w:rPr>
        <w:t xml:space="preserve"> i zużycie paliwa:</w:t>
      </w:r>
    </w:p>
    <w:p w14:paraId="47E1A6A1" w14:textId="77777777" w:rsidR="00AA23CE" w:rsidRDefault="00AA23CE" w:rsidP="00AA23CE">
      <w:pPr>
        <w:pStyle w:val="Akapitzlist"/>
        <w:ind w:left="0"/>
        <w:rPr>
          <w:rFonts w:ascii="Arial" w:hAnsi="Arial" w:cs="Arial"/>
          <w:lang w:val="pl-PL"/>
        </w:rPr>
      </w:pPr>
    </w:p>
    <w:p w14:paraId="36C24FBF" w14:textId="77777777" w:rsidR="00AA23CE" w:rsidRDefault="00AA23CE" w:rsidP="00AA23CE">
      <w:pPr>
        <w:pStyle w:val="Akapitzlist"/>
        <w:ind w:left="0"/>
        <w:rPr>
          <w:rFonts w:ascii="Arial" w:hAnsi="Arial" w:cs="Arial"/>
          <w:lang w:val="pl-PL"/>
        </w:rPr>
      </w:pPr>
      <w:r>
        <w:rPr>
          <w:rFonts w:ascii="Arial" w:hAnsi="Arial" w:cs="Arial"/>
          <w:lang w:val="pl-PL"/>
        </w:rPr>
        <w:t>Deklarowane zużycie paliwa/zużycie energii,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ze procedurą WLTP (Światową Zharmonizowaną Procedurą Testowania Pojazdów Lekkich), będą opatrzone informacjami na temat zużycia paliwa/energii i emisji CO</w:t>
      </w:r>
      <w:r>
        <w:rPr>
          <w:rFonts w:ascii="Arial" w:hAnsi="Arial" w:cs="Arial"/>
          <w:vertAlign w:val="subscript"/>
          <w:lang w:val="pl-PL"/>
        </w:rPr>
        <w:t>2</w:t>
      </w:r>
      <w:r>
        <w:rPr>
          <w:rFonts w:ascii="Arial" w:hAnsi="Arial" w:cs="Arial"/>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 W fazie przechodzenia z procedury NEDC do WLTP, zużycie paliwa i emisja CO</w:t>
      </w:r>
      <w:r>
        <w:rPr>
          <w:rFonts w:ascii="Arial" w:hAnsi="Arial" w:cs="Arial"/>
          <w:vertAlign w:val="subscript"/>
          <w:lang w:val="pl-PL"/>
        </w:rPr>
        <w:t>2</w:t>
      </w:r>
      <w:r>
        <w:rPr>
          <w:rFonts w:ascii="Arial" w:hAnsi="Arial" w:cs="Arial"/>
          <w:lang w:val="pl-PL"/>
        </w:rPr>
        <w:t xml:space="preserve"> będą podawane również według wcześniejszej procedury NEDC. Należy pamiętać, że nieuchronnie wystąpią różnice wyników otrzymanych według starej i nowej procedury testowej, zarówno co do zużycia paliwa, jak emisji CO</w:t>
      </w:r>
      <w:r>
        <w:rPr>
          <w:rFonts w:ascii="Arial" w:hAnsi="Arial" w:cs="Arial"/>
          <w:vertAlign w:val="subscript"/>
          <w:lang w:val="pl-PL"/>
        </w:rPr>
        <w:t>2</w:t>
      </w:r>
      <w:r>
        <w:rPr>
          <w:rFonts w:ascii="Arial" w:hAnsi="Arial" w:cs="Arial"/>
          <w:lang w:val="pl-PL"/>
        </w:rPr>
        <w:t>, ponieważ niektóre elementy testu uległy zmianie. Na przykład ten sam samochód może mieć inne zużycie paliwa i emisję CO</w:t>
      </w:r>
      <w:r>
        <w:rPr>
          <w:rFonts w:ascii="Arial" w:hAnsi="Arial" w:cs="Arial"/>
          <w:vertAlign w:val="subscript"/>
          <w:lang w:val="pl-PL"/>
        </w:rPr>
        <w:t>2</w:t>
      </w:r>
      <w:r>
        <w:rPr>
          <w:rFonts w:ascii="Arial" w:hAnsi="Arial" w:cs="Arial"/>
          <w:lang w:val="pl-PL"/>
        </w:rPr>
        <w:t xml:space="preserve"> mierzone według NEDC oraz WLPT.</w:t>
      </w:r>
    </w:p>
    <w:p w14:paraId="577A2362" w14:textId="77777777" w:rsidR="00AA23CE" w:rsidRDefault="00AA23CE" w:rsidP="00AA23CE">
      <w:pPr>
        <w:jc w:val="center"/>
        <w:rPr>
          <w:rFonts w:ascii="Arial" w:hAnsi="Arial"/>
          <w:sz w:val="22"/>
          <w:lang w:val="pl-PL"/>
        </w:rPr>
      </w:pPr>
    </w:p>
    <w:p w14:paraId="03AC4E02" w14:textId="77777777" w:rsidR="00AA23CE" w:rsidRDefault="00AA23CE" w:rsidP="00AA23CE">
      <w:pPr>
        <w:jc w:val="center"/>
        <w:rPr>
          <w:rFonts w:ascii="Arial" w:hAnsi="Arial"/>
          <w:sz w:val="22"/>
          <w:lang w:val="pl-PL"/>
        </w:rPr>
      </w:pPr>
    </w:p>
    <w:p w14:paraId="04394952" w14:textId="77777777" w:rsidR="00AA23CE" w:rsidRDefault="00AA23CE" w:rsidP="00AA23CE">
      <w:pPr>
        <w:jc w:val="center"/>
        <w:rPr>
          <w:rFonts w:ascii="Arial" w:hAnsi="Arial"/>
          <w:sz w:val="22"/>
          <w:lang w:val="pl-PL"/>
        </w:rPr>
      </w:pPr>
    </w:p>
    <w:p w14:paraId="24BE70CF" w14:textId="77777777" w:rsidR="00AA23CE" w:rsidRDefault="00AA23CE" w:rsidP="00AA23CE">
      <w:pPr>
        <w:rPr>
          <w:rFonts w:ascii="Arial" w:hAnsi="Arial" w:cs="Arial"/>
          <w:b/>
          <w:bCs/>
          <w:i/>
          <w:szCs w:val="22"/>
          <w:lang w:val="pl-PL"/>
        </w:rPr>
      </w:pPr>
      <w:r>
        <w:rPr>
          <w:rFonts w:ascii="Arial" w:hAnsi="Arial" w:cs="Arial"/>
          <w:b/>
          <w:bCs/>
          <w:i/>
          <w:lang w:val="pl-PL"/>
        </w:rPr>
        <w:t>O Ford Motor Company</w:t>
      </w:r>
    </w:p>
    <w:p w14:paraId="38FA7A82" w14:textId="77777777" w:rsidR="00AA23CE" w:rsidRPr="00AA23CE" w:rsidRDefault="00AA23CE" w:rsidP="00AA23CE">
      <w:pPr>
        <w:rPr>
          <w:lang w:val="pl-PL"/>
        </w:rPr>
      </w:pPr>
      <w:r>
        <w:rPr>
          <w:rFonts w:ascii="Arial" w:hAnsi="Arial" w:cs="Arial"/>
          <w:i/>
          <w:iCs/>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 Więcej informacji na temat Forda, produktów firmy oraz oddziału Ford Motor Credit Company na stronie </w:t>
      </w:r>
      <w:hyperlink r:id="rId8">
        <w:r>
          <w:rPr>
            <w:rStyle w:val="czeinternetowe"/>
            <w:rFonts w:ascii="Arial" w:hAnsi="Arial" w:cs="Arial"/>
            <w:i/>
            <w:iCs/>
            <w:lang w:val="pl-PL"/>
          </w:rPr>
          <w:t>www.corporate.ford.com</w:t>
        </w:r>
      </w:hyperlink>
      <w:r>
        <w:rPr>
          <w:rFonts w:ascii="Arial" w:hAnsi="Arial" w:cs="Arial"/>
          <w:i/>
          <w:iCs/>
          <w:color w:val="1F497D"/>
          <w:lang w:val="pl-PL"/>
        </w:rPr>
        <w:t xml:space="preserve">. </w:t>
      </w:r>
    </w:p>
    <w:p w14:paraId="7C3AA7BD" w14:textId="77777777" w:rsidR="00AA23CE" w:rsidRDefault="00AA23CE" w:rsidP="00AA23CE">
      <w:pPr>
        <w:rPr>
          <w:rFonts w:ascii="Arial" w:hAnsi="Arial" w:cs="Arial"/>
          <w:i/>
          <w:iCs/>
          <w:szCs w:val="20"/>
          <w:lang w:val="pl-PL"/>
        </w:rPr>
      </w:pPr>
    </w:p>
    <w:p w14:paraId="5D112E1A" w14:textId="61C5052A" w:rsidR="005F475A" w:rsidRPr="00AA23CE" w:rsidRDefault="00AA23CE" w:rsidP="005F475A">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5EBB8D5B" w14:textId="5E64133E" w:rsidR="00356D19" w:rsidRDefault="00356D19" w:rsidP="007E6E43">
      <w:pPr>
        <w:rPr>
          <w:rFonts w:ascii="Arial" w:hAnsi="Arial" w:cs="Arial"/>
          <w:i/>
          <w:sz w:val="22"/>
          <w:szCs w:val="22"/>
          <w:lang w:val="pl-PL"/>
        </w:rPr>
      </w:pPr>
    </w:p>
    <w:p w14:paraId="40431C72" w14:textId="77777777" w:rsidR="00AA23CE" w:rsidRDefault="00AA23CE" w:rsidP="007E6E43">
      <w:pPr>
        <w:rPr>
          <w:rFonts w:ascii="Arial" w:hAnsi="Arial" w:cs="Arial"/>
          <w:i/>
          <w:sz w:val="22"/>
          <w:szCs w:val="22"/>
          <w:lang w:val="pl-PL"/>
        </w:rPr>
      </w:pPr>
    </w:p>
    <w:p w14:paraId="1FEE3F75" w14:textId="01952D28" w:rsidR="00EC0B39" w:rsidRPr="00E84632" w:rsidRDefault="00EC0B39" w:rsidP="00EC0B39">
      <w:pPr>
        <w:pStyle w:val="Normalny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006A0F5F" w:rsidRPr="006A0F5F">
        <w:rPr>
          <w:rFonts w:ascii="Arial" w:hAnsi="Arial" w:cs="Arial"/>
          <w:color w:val="333333"/>
          <w:sz w:val="21"/>
          <w:szCs w:val="21"/>
          <w:lang w:val="pl-PL"/>
        </w:rPr>
        <w:t># # #</w:t>
      </w:r>
    </w:p>
    <w:p w14:paraId="7C7ACEDC" w14:textId="1E851F11" w:rsidR="00AD5814" w:rsidRDefault="00AD5814"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0"/>
          <w:p w14:paraId="61EAB86D" w14:textId="77777777"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AA23CE"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316D2BB3" w14:textId="4C7D9359" w:rsidR="0078699F" w:rsidRDefault="007A3385" w:rsidP="00DC62D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4DC4D" w16cid:durableId="231F07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ADB4" w14:textId="77777777" w:rsidR="008D140A" w:rsidRDefault="008D140A">
      <w:r>
        <w:separator/>
      </w:r>
    </w:p>
  </w:endnote>
  <w:endnote w:type="continuationSeparator" w:id="0">
    <w:p w14:paraId="52653EEA" w14:textId="77777777" w:rsidR="008D140A" w:rsidRDefault="008D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AA23C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BDCB5" w14:textId="77777777" w:rsidR="008D140A" w:rsidRDefault="008D140A">
      <w:r>
        <w:separator/>
      </w:r>
    </w:p>
  </w:footnote>
  <w:footnote w:type="continuationSeparator" w:id="0">
    <w:p w14:paraId="27439957" w14:textId="77777777" w:rsidR="008D140A" w:rsidRDefault="008D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60556"/>
    <w:multiLevelType w:val="multilevel"/>
    <w:tmpl w:val="A888E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373E9"/>
    <w:multiLevelType w:val="multilevel"/>
    <w:tmpl w:val="FB2215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F4DC4"/>
    <w:multiLevelType w:val="multilevel"/>
    <w:tmpl w:val="2200AC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C8E4929"/>
    <w:multiLevelType w:val="multilevel"/>
    <w:tmpl w:val="C1FC81A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C9077F"/>
    <w:multiLevelType w:val="multilevel"/>
    <w:tmpl w:val="922E6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22E1629"/>
    <w:multiLevelType w:val="multilevel"/>
    <w:tmpl w:val="D4C41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4C5BF0"/>
    <w:multiLevelType w:val="multilevel"/>
    <w:tmpl w:val="B2DA01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E711811"/>
    <w:multiLevelType w:val="multilevel"/>
    <w:tmpl w:val="13B4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5A431C8"/>
    <w:multiLevelType w:val="multilevel"/>
    <w:tmpl w:val="F3E8A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8C36E52"/>
    <w:multiLevelType w:val="hybridMultilevel"/>
    <w:tmpl w:val="0916ECBA"/>
    <w:lvl w:ilvl="0" w:tplc="0409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A4C5D7F"/>
    <w:multiLevelType w:val="multilevel"/>
    <w:tmpl w:val="1CE27B9A"/>
    <w:lvl w:ilvl="0">
      <w:start w:val="1"/>
      <w:numFmt w:val="bullet"/>
      <w:lvlText w:val=""/>
      <w:lvlJc w:val="left"/>
      <w:pPr>
        <w:tabs>
          <w:tab w:val="num" w:pos="360"/>
        </w:tabs>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50D6F2D"/>
    <w:multiLevelType w:val="multilevel"/>
    <w:tmpl w:val="CCA8056A"/>
    <w:lvl w:ilvl="0">
      <w:start w:val="1"/>
      <w:numFmt w:val="bullet"/>
      <w:lvlText w:val=""/>
      <w:lvlJc w:val="left"/>
      <w:pPr>
        <w:ind w:left="720"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65941BD"/>
    <w:multiLevelType w:val="multilevel"/>
    <w:tmpl w:val="4D9256A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B021C5"/>
    <w:multiLevelType w:val="multilevel"/>
    <w:tmpl w:val="9BCEC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7263B1"/>
    <w:multiLevelType w:val="multilevel"/>
    <w:tmpl w:val="B47C8A9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70D12F6"/>
    <w:multiLevelType w:val="multilevel"/>
    <w:tmpl w:val="20ACEDEE"/>
    <w:lvl w:ilvl="0">
      <w:start w:val="1"/>
      <w:numFmt w:val="bullet"/>
      <w:lvlText w:val=""/>
      <w:lvlJc w:val="left"/>
      <w:pPr>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27" w15:restartNumberingAfterBreak="0">
    <w:nsid w:val="48D311BE"/>
    <w:multiLevelType w:val="multilevel"/>
    <w:tmpl w:val="B20868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FEF5968"/>
    <w:multiLevelType w:val="multilevel"/>
    <w:tmpl w:val="82649C9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07F62A7"/>
    <w:multiLevelType w:val="multilevel"/>
    <w:tmpl w:val="F89E6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0DB1CB1"/>
    <w:multiLevelType w:val="multilevel"/>
    <w:tmpl w:val="D0DC215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1766E75"/>
    <w:multiLevelType w:val="multilevel"/>
    <w:tmpl w:val="9AE0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2D20302"/>
    <w:multiLevelType w:val="multilevel"/>
    <w:tmpl w:val="14F0AF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734E06"/>
    <w:multiLevelType w:val="multilevel"/>
    <w:tmpl w:val="EE0AB3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61C667A"/>
    <w:multiLevelType w:val="multilevel"/>
    <w:tmpl w:val="3EB8959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808247E"/>
    <w:multiLevelType w:val="multilevel"/>
    <w:tmpl w:val="449A370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EF41CC1"/>
    <w:multiLevelType w:val="multilevel"/>
    <w:tmpl w:val="99700DD8"/>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6"/>
  </w:num>
  <w:num w:numId="12">
    <w:abstractNumId w:val="38"/>
  </w:num>
  <w:num w:numId="13">
    <w:abstractNumId w:val="28"/>
  </w:num>
  <w:num w:numId="14">
    <w:abstractNumId w:val="3"/>
  </w:num>
  <w:num w:numId="15">
    <w:abstractNumId w:val="45"/>
  </w:num>
  <w:num w:numId="16">
    <w:abstractNumId w:val="10"/>
  </w:num>
  <w:num w:numId="17">
    <w:abstractNumId w:val="6"/>
  </w:num>
  <w:num w:numId="18">
    <w:abstractNumId w:val="13"/>
  </w:num>
  <w:num w:numId="19">
    <w:abstractNumId w:val="40"/>
  </w:num>
  <w:num w:numId="20">
    <w:abstractNumId w:val="44"/>
  </w:num>
  <w:num w:numId="21">
    <w:abstractNumId w:val="20"/>
  </w:num>
  <w:num w:numId="22">
    <w:abstractNumId w:val="27"/>
  </w:num>
  <w:num w:numId="23">
    <w:abstractNumId w:val="14"/>
  </w:num>
  <w:num w:numId="24">
    <w:abstractNumId w:val="8"/>
  </w:num>
  <w:num w:numId="25">
    <w:abstractNumId w:val="7"/>
  </w:num>
  <w:num w:numId="26">
    <w:abstractNumId w:val="30"/>
  </w:num>
  <w:num w:numId="27">
    <w:abstractNumId w:val="31"/>
  </w:num>
  <w:num w:numId="28">
    <w:abstractNumId w:val="32"/>
  </w:num>
  <w:num w:numId="29">
    <w:abstractNumId w:val="12"/>
  </w:num>
  <w:num w:numId="30">
    <w:abstractNumId w:val="15"/>
  </w:num>
  <w:num w:numId="31">
    <w:abstractNumId w:val="5"/>
  </w:num>
  <w:num w:numId="32">
    <w:abstractNumId w:val="23"/>
  </w:num>
  <w:num w:numId="33">
    <w:abstractNumId w:val="1"/>
  </w:num>
  <w:num w:numId="34">
    <w:abstractNumId w:val="2"/>
  </w:num>
  <w:num w:numId="35">
    <w:abstractNumId w:val="19"/>
  </w:num>
  <w:num w:numId="36">
    <w:abstractNumId w:val="37"/>
  </w:num>
  <w:num w:numId="37">
    <w:abstractNumId w:val="4"/>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2"/>
  </w:num>
  <w:num w:numId="45">
    <w:abstractNumId w:val="29"/>
  </w:num>
  <w:num w:numId="4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66D7B"/>
    <w:rsid w:val="0006720E"/>
    <w:rsid w:val="00070998"/>
    <w:rsid w:val="0008239F"/>
    <w:rsid w:val="000A302A"/>
    <w:rsid w:val="000B1463"/>
    <w:rsid w:val="000C5B0E"/>
    <w:rsid w:val="000D0536"/>
    <w:rsid w:val="000D1FDB"/>
    <w:rsid w:val="00104CD7"/>
    <w:rsid w:val="00106BA5"/>
    <w:rsid w:val="0010756F"/>
    <w:rsid w:val="00111E3B"/>
    <w:rsid w:val="00123DA9"/>
    <w:rsid w:val="0013097E"/>
    <w:rsid w:val="00153A6D"/>
    <w:rsid w:val="00172F7B"/>
    <w:rsid w:val="00193F53"/>
    <w:rsid w:val="001976D1"/>
    <w:rsid w:val="001A5A05"/>
    <w:rsid w:val="001B460C"/>
    <w:rsid w:val="001C1A6C"/>
    <w:rsid w:val="001C2E3D"/>
    <w:rsid w:val="001C5108"/>
    <w:rsid w:val="001E6314"/>
    <w:rsid w:val="001F1748"/>
    <w:rsid w:val="0020173F"/>
    <w:rsid w:val="002160FA"/>
    <w:rsid w:val="00220308"/>
    <w:rsid w:val="00235A84"/>
    <w:rsid w:val="00236E2D"/>
    <w:rsid w:val="00243B0D"/>
    <w:rsid w:val="00243F8B"/>
    <w:rsid w:val="00267340"/>
    <w:rsid w:val="00273A8B"/>
    <w:rsid w:val="002805B1"/>
    <w:rsid w:val="002823D9"/>
    <w:rsid w:val="00291048"/>
    <w:rsid w:val="0029464F"/>
    <w:rsid w:val="002A4EFF"/>
    <w:rsid w:val="002B4EE0"/>
    <w:rsid w:val="002E2656"/>
    <w:rsid w:val="002F5335"/>
    <w:rsid w:val="003064BB"/>
    <w:rsid w:val="0030794E"/>
    <w:rsid w:val="00334066"/>
    <w:rsid w:val="00342ECF"/>
    <w:rsid w:val="00347D78"/>
    <w:rsid w:val="00354862"/>
    <w:rsid w:val="00356D19"/>
    <w:rsid w:val="00372E01"/>
    <w:rsid w:val="003744AA"/>
    <w:rsid w:val="003906E4"/>
    <w:rsid w:val="003A17FF"/>
    <w:rsid w:val="003A6DCC"/>
    <w:rsid w:val="003C7F75"/>
    <w:rsid w:val="003F098A"/>
    <w:rsid w:val="003F30D8"/>
    <w:rsid w:val="003F4449"/>
    <w:rsid w:val="004012C6"/>
    <w:rsid w:val="00414E78"/>
    <w:rsid w:val="00444FC9"/>
    <w:rsid w:val="0044530B"/>
    <w:rsid w:val="0046178E"/>
    <w:rsid w:val="004660CF"/>
    <w:rsid w:val="00485BFB"/>
    <w:rsid w:val="00486263"/>
    <w:rsid w:val="004863C8"/>
    <w:rsid w:val="004A62C9"/>
    <w:rsid w:val="004B1B2F"/>
    <w:rsid w:val="004D0476"/>
    <w:rsid w:val="004D477B"/>
    <w:rsid w:val="004E3236"/>
    <w:rsid w:val="004E6D58"/>
    <w:rsid w:val="00501CC4"/>
    <w:rsid w:val="00510CB8"/>
    <w:rsid w:val="00522DAE"/>
    <w:rsid w:val="0052769E"/>
    <w:rsid w:val="005305A3"/>
    <w:rsid w:val="00555CD4"/>
    <w:rsid w:val="00564C82"/>
    <w:rsid w:val="0056598E"/>
    <w:rsid w:val="005730E2"/>
    <w:rsid w:val="00577947"/>
    <w:rsid w:val="005802B6"/>
    <w:rsid w:val="005867C0"/>
    <w:rsid w:val="005968FF"/>
    <w:rsid w:val="005A302A"/>
    <w:rsid w:val="005A3CDA"/>
    <w:rsid w:val="005C1845"/>
    <w:rsid w:val="005D25C5"/>
    <w:rsid w:val="005D63BF"/>
    <w:rsid w:val="005D70B0"/>
    <w:rsid w:val="005E2703"/>
    <w:rsid w:val="005F475A"/>
    <w:rsid w:val="005F4988"/>
    <w:rsid w:val="005F72B2"/>
    <w:rsid w:val="006036A3"/>
    <w:rsid w:val="00610994"/>
    <w:rsid w:val="00615575"/>
    <w:rsid w:val="00617396"/>
    <w:rsid w:val="00623246"/>
    <w:rsid w:val="00663631"/>
    <w:rsid w:val="00681E06"/>
    <w:rsid w:val="006A0986"/>
    <w:rsid w:val="006A0F5F"/>
    <w:rsid w:val="006A5B83"/>
    <w:rsid w:val="006C004A"/>
    <w:rsid w:val="006D783E"/>
    <w:rsid w:val="006D7FCC"/>
    <w:rsid w:val="006F70B4"/>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E6E43"/>
    <w:rsid w:val="007E7123"/>
    <w:rsid w:val="007F0BD4"/>
    <w:rsid w:val="00801723"/>
    <w:rsid w:val="00802294"/>
    <w:rsid w:val="00802725"/>
    <w:rsid w:val="008101F2"/>
    <w:rsid w:val="00812858"/>
    <w:rsid w:val="00822CDF"/>
    <w:rsid w:val="008233C4"/>
    <w:rsid w:val="008442F5"/>
    <w:rsid w:val="008842C4"/>
    <w:rsid w:val="00890385"/>
    <w:rsid w:val="008A13D2"/>
    <w:rsid w:val="008A5AD6"/>
    <w:rsid w:val="008B0E48"/>
    <w:rsid w:val="008B5CB6"/>
    <w:rsid w:val="008D0176"/>
    <w:rsid w:val="008D140A"/>
    <w:rsid w:val="008F2C84"/>
    <w:rsid w:val="008F54E0"/>
    <w:rsid w:val="00915841"/>
    <w:rsid w:val="009164BB"/>
    <w:rsid w:val="0094549D"/>
    <w:rsid w:val="00946702"/>
    <w:rsid w:val="009547D1"/>
    <w:rsid w:val="009559A8"/>
    <w:rsid w:val="0097339D"/>
    <w:rsid w:val="009C4416"/>
    <w:rsid w:val="009E6275"/>
    <w:rsid w:val="009F319E"/>
    <w:rsid w:val="00A05FCA"/>
    <w:rsid w:val="00A13797"/>
    <w:rsid w:val="00A140DD"/>
    <w:rsid w:val="00A40D4A"/>
    <w:rsid w:val="00A46849"/>
    <w:rsid w:val="00A61728"/>
    <w:rsid w:val="00A710DE"/>
    <w:rsid w:val="00A720DE"/>
    <w:rsid w:val="00A92E41"/>
    <w:rsid w:val="00A9318E"/>
    <w:rsid w:val="00AA23CE"/>
    <w:rsid w:val="00AD5814"/>
    <w:rsid w:val="00AF1F15"/>
    <w:rsid w:val="00AF67EE"/>
    <w:rsid w:val="00B01153"/>
    <w:rsid w:val="00B01F0A"/>
    <w:rsid w:val="00B45F5A"/>
    <w:rsid w:val="00B47DA4"/>
    <w:rsid w:val="00B623DB"/>
    <w:rsid w:val="00B70797"/>
    <w:rsid w:val="00B71190"/>
    <w:rsid w:val="00B73082"/>
    <w:rsid w:val="00B80111"/>
    <w:rsid w:val="00B83E04"/>
    <w:rsid w:val="00B924C6"/>
    <w:rsid w:val="00BB61F8"/>
    <w:rsid w:val="00BC3E1A"/>
    <w:rsid w:val="00BD3B51"/>
    <w:rsid w:val="00BE22B5"/>
    <w:rsid w:val="00BE5D19"/>
    <w:rsid w:val="00BE78D5"/>
    <w:rsid w:val="00BE7C5B"/>
    <w:rsid w:val="00BE7F5D"/>
    <w:rsid w:val="00BF47AE"/>
    <w:rsid w:val="00BF7D7C"/>
    <w:rsid w:val="00C2293F"/>
    <w:rsid w:val="00C33579"/>
    <w:rsid w:val="00C33FB9"/>
    <w:rsid w:val="00C42E20"/>
    <w:rsid w:val="00C514E2"/>
    <w:rsid w:val="00C559C3"/>
    <w:rsid w:val="00C60AB0"/>
    <w:rsid w:val="00C82DBA"/>
    <w:rsid w:val="00C95A33"/>
    <w:rsid w:val="00C95CE1"/>
    <w:rsid w:val="00C97B1F"/>
    <w:rsid w:val="00CC1618"/>
    <w:rsid w:val="00CC7C00"/>
    <w:rsid w:val="00CD1523"/>
    <w:rsid w:val="00CE4EA8"/>
    <w:rsid w:val="00CF20FC"/>
    <w:rsid w:val="00D3413B"/>
    <w:rsid w:val="00D368C2"/>
    <w:rsid w:val="00D53480"/>
    <w:rsid w:val="00D55D05"/>
    <w:rsid w:val="00D751BF"/>
    <w:rsid w:val="00D76949"/>
    <w:rsid w:val="00D76AC8"/>
    <w:rsid w:val="00D77FAD"/>
    <w:rsid w:val="00D91FDB"/>
    <w:rsid w:val="00DA2533"/>
    <w:rsid w:val="00DB3D07"/>
    <w:rsid w:val="00DC62D2"/>
    <w:rsid w:val="00DD366D"/>
    <w:rsid w:val="00DD3BA0"/>
    <w:rsid w:val="00E11811"/>
    <w:rsid w:val="00E2012B"/>
    <w:rsid w:val="00E20D58"/>
    <w:rsid w:val="00E37655"/>
    <w:rsid w:val="00E5078A"/>
    <w:rsid w:val="00E569BF"/>
    <w:rsid w:val="00E7495F"/>
    <w:rsid w:val="00E8182E"/>
    <w:rsid w:val="00E84632"/>
    <w:rsid w:val="00E9101A"/>
    <w:rsid w:val="00EA2106"/>
    <w:rsid w:val="00EC07EE"/>
    <w:rsid w:val="00EC0B39"/>
    <w:rsid w:val="00EC1F82"/>
    <w:rsid w:val="00EC2262"/>
    <w:rsid w:val="00ED1CC7"/>
    <w:rsid w:val="00ED2BEA"/>
    <w:rsid w:val="00ED7BE1"/>
    <w:rsid w:val="00EF5FB5"/>
    <w:rsid w:val="00F0045A"/>
    <w:rsid w:val="00F031B8"/>
    <w:rsid w:val="00F034F3"/>
    <w:rsid w:val="00F06B4A"/>
    <w:rsid w:val="00F17586"/>
    <w:rsid w:val="00F27848"/>
    <w:rsid w:val="00F36798"/>
    <w:rsid w:val="00F45F0A"/>
    <w:rsid w:val="00F814A5"/>
    <w:rsid w:val="00F82990"/>
    <w:rsid w:val="00F926BA"/>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1526-AF31-4D81-898B-89A8BEC9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1922</Words>
  <Characters>11536</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3</cp:revision>
  <dcterms:created xsi:type="dcterms:W3CDTF">2020-09-30T11:41:00Z</dcterms:created>
  <dcterms:modified xsi:type="dcterms:W3CDTF">2021-04-29T07:24:00Z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