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8A" w:rsidRDefault="00542DC5">
      <w:pPr>
        <w:overflowPunct w:val="0"/>
        <w:textAlignment w:val="baseline"/>
        <w:rPr>
          <w:rFonts w:ascii="Arial" w:hAnsi="Arial" w:cs="Arial"/>
          <w:b/>
          <w:caps/>
          <w:sz w:val="28"/>
          <w:szCs w:val="28"/>
          <w:lang w:val="pl-PL"/>
        </w:rPr>
      </w:pPr>
      <w:r>
        <w:rPr>
          <w:rFonts w:ascii="Arial" w:hAnsi="Arial" w:cs="Arial"/>
          <w:b/>
          <w:caps/>
          <w:sz w:val="28"/>
          <w:szCs w:val="28"/>
          <w:lang w:val="pl-PL"/>
        </w:rPr>
        <w:t>FORD PUMA ST – WSTĘPNA SPECYFIKACJA TECHNICZNA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caps/>
          <w:sz w:val="28"/>
          <w:szCs w:val="28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Uwaga: Informacje zawarte w niniejszych materiałach prasowych oparte są o najaktualniejsze wstępne specyfikacje techniczne, jakie były </w:t>
      </w:r>
      <w:r>
        <w:rPr>
          <w:rFonts w:ascii="Arial" w:hAnsi="Arial" w:cs="Arial"/>
          <w:sz w:val="18"/>
          <w:szCs w:val="18"/>
          <w:lang w:val="pl-PL"/>
        </w:rPr>
        <w:t>dostępne w momencie publikacji. Ford prowadzi politykę stałego doskonalenia produktów i zastrzega sobie prawo do zmian w podanych specyfikacjach.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24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 w:val="24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b/>
          <w:caps/>
          <w:szCs w:val="20"/>
          <w:u w:val="single"/>
          <w:lang w:val="pl-PL"/>
        </w:rPr>
      </w:pPr>
      <w:r>
        <w:rPr>
          <w:rFonts w:ascii="Arial" w:hAnsi="Arial" w:cs="Arial"/>
          <w:b/>
          <w:caps/>
          <w:szCs w:val="20"/>
          <w:u w:val="single"/>
          <w:lang w:val="pl-PL"/>
        </w:rPr>
        <w:t>Osiągi i zużycie paliwa</w:t>
      </w:r>
    </w:p>
    <w:p w:rsidR="00A3318A" w:rsidRDefault="00A3318A">
      <w:pPr>
        <w:overflowPunct w:val="0"/>
        <w:spacing w:before="20" w:after="48"/>
        <w:textAlignment w:val="baseline"/>
        <w:rPr>
          <w:rFonts w:ascii="Arial" w:hAnsi="Arial" w:cs="Arial"/>
          <w:b/>
          <w:bCs/>
          <w:caps/>
          <w:szCs w:val="20"/>
          <w:u w:val="single"/>
          <w:lang w:val="pl-PL"/>
        </w:rPr>
      </w:pPr>
    </w:p>
    <w:tbl>
      <w:tblPr>
        <w:tblW w:w="99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080"/>
        <w:gridCol w:w="1080"/>
        <w:gridCol w:w="1080"/>
        <w:gridCol w:w="953"/>
        <w:gridCol w:w="1264"/>
        <w:gridCol w:w="1023"/>
        <w:gridCol w:w="1080"/>
        <w:gridCol w:w="1081"/>
      </w:tblGrid>
      <w:tr w:rsidR="00A3318A" w:rsidRPr="001423B5">
        <w:trPr>
          <w:trHeight w:val="440"/>
          <w:jc w:val="center"/>
        </w:trPr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snapToGrid w:val="0"/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snapToGrid w:val="0"/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snapToGrid w:val="0"/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CO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vertAlign w:val="subscript"/>
                <w:lang w:val="pl-PL"/>
              </w:rPr>
              <w:t xml:space="preserve">2 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od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vertAlign w:val="subscript"/>
                <w:lang w:val="pl-PL"/>
              </w:rPr>
              <w:br/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(g/km wg NEDC)</w:t>
            </w:r>
          </w:p>
        </w:tc>
        <w:tc>
          <w:tcPr>
            <w:tcW w:w="3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Zużycia paliwa od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br/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(l/100 km wg NEDC)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 xml:space="preserve">Zużycie paliwa od 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(l/100 km WLTP)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CO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 xml:space="preserve"> od (g/km WLTP)</w:t>
            </w:r>
          </w:p>
        </w:tc>
      </w:tr>
      <w:tr w:rsidR="00A3318A">
        <w:trPr>
          <w:trHeight w:val="851"/>
          <w:jc w:val="center"/>
        </w:trPr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Silniki benzynowe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Moc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br/>
              <w:t>KM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Rozmiar koła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Jazda mieszana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Cykl miejski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Cykl pozamiejski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br/>
              <w:t>Cykl miejski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Jazda mieszana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Całkowite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Całkowita</w:t>
            </w:r>
          </w:p>
        </w:tc>
      </w:tr>
      <w:tr w:rsidR="00A3318A">
        <w:trPr>
          <w:trHeight w:val="155"/>
          <w:jc w:val="center"/>
        </w:trPr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Pr="001423B5" w:rsidRDefault="00542DC5">
            <w:pPr>
              <w:spacing w:before="20" w:after="48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1,5-litra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  <w:t>(6-biegowa skrzynia manualna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7,6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5,0 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6,0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6,9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155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bCs/>
          <w:szCs w:val="20"/>
          <w:lang w:val="pl-PL"/>
        </w:rPr>
      </w:pPr>
    </w:p>
    <w:tbl>
      <w:tblPr>
        <w:tblW w:w="9933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89"/>
        <w:gridCol w:w="1915"/>
        <w:gridCol w:w="1917"/>
        <w:gridCol w:w="1915"/>
        <w:gridCol w:w="2097"/>
      </w:tblGrid>
      <w:tr w:rsidR="00A3318A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Osiągi</w:t>
            </w:r>
          </w:p>
        </w:tc>
      </w:tr>
      <w:tr w:rsidR="00A3318A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Silniki benzynowe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Moc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br/>
              <w:t>KM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Prędkość maksymalna km/h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0-100 km/h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br/>
              <w:t>sek.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50-100 km/h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br/>
              <w:t>sek.*</w:t>
            </w:r>
          </w:p>
        </w:tc>
      </w:tr>
      <w:tr w:rsidR="00A3318A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Pr="001423B5" w:rsidRDefault="00542DC5">
            <w:pPr>
              <w:overflowPunct w:val="0"/>
              <w:textAlignment w:val="baseline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1,5-litra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(6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noBreakHyphen/>
              <w:t>biegowa skrzynia manualna)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220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  <w:lang w:val="pl-PL"/>
              </w:rPr>
              <w:t>6,7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  <w:lang w:val="pl-PL"/>
              </w:rPr>
              <w:t>5,9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bCs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 Na 4. biegu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MASY I WYMIARY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990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67"/>
        <w:gridCol w:w="1134"/>
        <w:gridCol w:w="1159"/>
        <w:gridCol w:w="1167"/>
        <w:gridCol w:w="1176"/>
        <w:gridCol w:w="1167"/>
        <w:gridCol w:w="1130"/>
        <w:gridCol w:w="1402"/>
      </w:tblGrid>
      <w:tr w:rsidR="00A3318A">
        <w:trPr>
          <w:trHeight w:val="720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Masa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Masa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własna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(kg)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#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Masa całkowita pojazdu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(kg)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Masa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całkowita z przyczepą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 xml:space="preserve"> (kg)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Pr="001423B5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Max. masa przyczepy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hamulcami (kg)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Pr="001423B5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Max. masa przyczepy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bez hamulca (kg)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Nacisk na hak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(kg)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Dopuszczalne obciążenie dachu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(kg)</w:t>
            </w:r>
          </w:p>
        </w:tc>
      </w:tr>
      <w:tr w:rsidR="00A3318A">
        <w:trPr>
          <w:trHeight w:val="284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200 KM (6-biegowa manualna)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1358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1815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2565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750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640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75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25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  <w:lang w:val="pl-PL"/>
        </w:rPr>
        <w:t xml:space="preserve"># </w:t>
      </w:r>
      <w:r>
        <w:rPr>
          <w:rFonts w:ascii="Arial" w:hAnsi="Arial" w:cs="Arial"/>
          <w:sz w:val="18"/>
          <w:szCs w:val="18"/>
          <w:lang w:val="pl-PL"/>
        </w:rPr>
        <w:t xml:space="preserve">Dotyczy </w:t>
      </w:r>
      <w:r>
        <w:rPr>
          <w:rFonts w:ascii="Arial" w:hAnsi="Arial" w:cs="Arial"/>
          <w:sz w:val="18"/>
          <w:szCs w:val="18"/>
          <w:lang w:val="pl-PL"/>
        </w:rPr>
        <w:t>najmniejszej masy własnej z kierowcą o wadze 75 kg, przy pełnym poziomie płynów i 90% poziomu paliwa, z zastrzeżeniem tolerancji produkcyjnych, zainstalowanych opcji wyposażenia itp. Specyfikacja mas dotyczy modelu podstawowego bez panoramicznego dachu szk</w:t>
      </w:r>
      <w:r>
        <w:rPr>
          <w:rFonts w:ascii="Arial" w:hAnsi="Arial" w:cs="Arial"/>
          <w:sz w:val="18"/>
          <w:szCs w:val="18"/>
          <w:lang w:val="pl-PL"/>
        </w:rPr>
        <w:t>lanego.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Podane limity przedstawiają maksymalną zdolność pojazdu do holowania na wzniesieniu o nachyleniu 12% na wysokości 0 m n.p.m. podczas ruszania przy obciążeniu do masy całkowitej. Osiągi i oszczędność auta zmniejszą się, jeśli jest używane do holowa</w:t>
      </w:r>
      <w:r>
        <w:rPr>
          <w:rFonts w:ascii="Arial" w:hAnsi="Arial" w:cs="Arial"/>
          <w:sz w:val="18"/>
          <w:szCs w:val="18"/>
          <w:lang w:val="pl-PL"/>
        </w:rPr>
        <w:t>nia przyczepy.  Masa całkowita z przyczepą to masa własna pojazdu plus masa przyczepy.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szCs w:val="20"/>
          <w:lang w:val="pl-PL"/>
        </w:rPr>
        <w:t>Wymiary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tbl>
      <w:tblPr>
        <w:tblW w:w="607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6"/>
        <w:gridCol w:w="1286"/>
      </w:tblGrid>
      <w:tr w:rsidR="00A3318A">
        <w:trPr>
          <w:trHeight w:val="45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Wymiary (w mm, o ile nie podano inaczej)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Puma ST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Nadwozie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Całkowita długość bez haka holowniczego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4226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Szerokość z lusterkami </w:t>
            </w:r>
            <w:r>
              <w:rPr>
                <w:rFonts w:ascii="Arial" w:hAnsi="Arial" w:cs="Arial"/>
                <w:szCs w:val="20"/>
                <w:lang w:val="pl-PL"/>
              </w:rPr>
              <w:t>rozłożonymi/złożonymi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1930/1805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Wysokość całkowita (z anteną w kształcie płetwy rekina, bez obciążenia)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1533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Rozstaw osi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2588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Rozstaw kół przednich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1565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Rozstaw kół tylnych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1518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Zwis przedni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875</w:t>
            </w:r>
          </w:p>
        </w:tc>
      </w:tr>
      <w:tr w:rsidR="00A3318A">
        <w:trPr>
          <w:trHeight w:val="332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Zwis tylny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763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Prześwit (obciążone do masy </w:t>
            </w:r>
            <w:r>
              <w:rPr>
                <w:rFonts w:ascii="Arial" w:hAnsi="Arial" w:cs="Arial"/>
                <w:szCs w:val="20"/>
                <w:lang w:val="pl-PL"/>
              </w:rPr>
              <w:t>całkowitej)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131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Prześwit (przy masie własnej)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152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Kąt natarcia (st.)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13,8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Kąt zejścia (st.)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24,0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Wnętrze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</w:tr>
      <w:tr w:rsidR="00A3318A">
        <w:trPr>
          <w:trHeight w:val="31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Odległość od siedziska do dachu z przodu (bez panoramicznego okna dachowego)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1000</w:t>
            </w:r>
          </w:p>
        </w:tc>
      </w:tr>
      <w:tr w:rsidR="00A3318A">
        <w:trPr>
          <w:trHeight w:val="31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Odległość od siedziska do dachu z przodu </w:t>
            </w:r>
            <w:r>
              <w:rPr>
                <w:rFonts w:ascii="Arial" w:hAnsi="Arial" w:cs="Arial"/>
                <w:szCs w:val="20"/>
                <w:lang w:val="pl-PL"/>
              </w:rPr>
              <w:t>(panoramiczne okno dachowe)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983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Przestrzeń na nogi z przodu (maks. przy odsuniętym siedzeniu z uniesionym do połowy oparciem)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1127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ramion z przodu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1348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bioder z przodu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1311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Odległość od siedziska do </w:t>
            </w:r>
            <w:r>
              <w:rPr>
                <w:rFonts w:ascii="Arial" w:hAnsi="Arial" w:cs="Arial"/>
                <w:szCs w:val="20"/>
                <w:lang w:val="pl-PL"/>
              </w:rPr>
              <w:t>dachu z tyłu (bez panoramicznego okna dachowego)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965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Przestrzeń na nogi z tyłu (maks. przy odsuniętym siedzeniu z uniesionym do połowy oparciem)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877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ramion z tyłu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1320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bioder z tyłu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1278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Pojemność </w:t>
            </w: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bagażnika (l)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  <w:lang w:val="pl-PL"/>
              </w:rPr>
              <w:t xml:space="preserve"> ‡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Wariant z rozłożonymi 5 siedzeniami, do krawędzi okien (z zestawem naprawczym opon)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456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Dwumiejscowy wariant ustawienia foteli, do poziomu dachu (z zestawem naprawczym opon)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 1216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Wymiary przedziału bagażowego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Wysokość </w:t>
            </w:r>
            <w:r>
              <w:rPr>
                <w:rFonts w:ascii="Arial" w:hAnsi="Arial" w:cs="Arial"/>
                <w:bCs/>
                <w:szCs w:val="20"/>
                <w:lang w:val="pl-PL"/>
              </w:rPr>
              <w:t>przestrzeni bagażowej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865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Długość do drugiego rzędu foteli (z zestawem naprawczym opon)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1472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Długość podłogi bagażnika do 2. rzędu siedzeń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725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Szerokość bagażnika pomiędzy nadkolami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1000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Szerokość otworu bagażnika przy podłodze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982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Wysokość </w:t>
            </w:r>
            <w:r>
              <w:rPr>
                <w:rFonts w:ascii="Arial" w:hAnsi="Arial" w:cs="Arial"/>
                <w:bCs/>
                <w:szCs w:val="20"/>
                <w:lang w:val="pl-PL"/>
              </w:rPr>
              <w:t>krawędzi załadunku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754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Pojemność zbiornika paliwa (l)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lastRenderedPageBreak/>
              <w:t>Benzyna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45</w:t>
            </w:r>
          </w:p>
        </w:tc>
      </w:tr>
    </w:tbl>
    <w:p w:rsidR="00A3318A" w:rsidRDefault="00A3318A">
      <w:pPr>
        <w:rPr>
          <w:rFonts w:ascii="Arial" w:hAnsi="Arial" w:cs="Arial"/>
          <w:szCs w:val="20"/>
          <w:vertAlign w:val="superscript"/>
          <w:lang w:val="pl-PL"/>
        </w:rPr>
      </w:pPr>
    </w:p>
    <w:p w:rsidR="00A3318A" w:rsidRDefault="00542DC5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‡ </w:t>
      </w:r>
      <w:r>
        <w:rPr>
          <w:rFonts w:ascii="Arial" w:hAnsi="Arial" w:cs="Arial"/>
          <w:sz w:val="18"/>
          <w:szCs w:val="18"/>
          <w:lang w:val="pl-PL"/>
        </w:rPr>
        <w:t>Pomiar zgodnie z ISO 3832. Wymiary mogą się różnić w zależności od modelu i wyposażenia.</w:t>
      </w:r>
    </w:p>
    <w:p w:rsidR="00A3318A" w:rsidRDefault="00A3318A">
      <w:pPr>
        <w:rPr>
          <w:rFonts w:ascii="Arial" w:hAnsi="Arial" w:cs="Arial"/>
          <w:b/>
          <w:bCs/>
          <w:sz w:val="18"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bCs/>
          <w:szCs w:val="20"/>
          <w:u w:val="single"/>
          <w:lang w:val="pl-PL"/>
        </w:rPr>
      </w:pPr>
      <w:r>
        <w:rPr>
          <w:rFonts w:ascii="Arial" w:hAnsi="Arial" w:cs="Arial"/>
          <w:b/>
          <w:bCs/>
          <w:szCs w:val="20"/>
          <w:u w:val="single"/>
          <w:lang w:val="pl-PL"/>
        </w:rPr>
        <w:t>SYSTEMY WSPIERAJĄCE KIEROWCĘ</w:t>
      </w:r>
      <w:r>
        <w:rPr>
          <w:rFonts w:ascii="Arial" w:hAnsi="Arial" w:cs="Arial"/>
          <w:bCs/>
          <w:szCs w:val="20"/>
          <w:vertAlign w:val="superscript"/>
          <w:lang w:val="pl-PL"/>
        </w:rPr>
        <w:t xml:space="preserve"> #</w:t>
      </w: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tbl>
      <w:tblPr>
        <w:tblW w:w="933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32"/>
      </w:tblGrid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r>
              <w:rPr>
                <w:rFonts w:ascii="Arial" w:hAnsi="Arial" w:cs="Arial"/>
                <w:szCs w:val="20"/>
                <w:lang w:val="pl-PL"/>
              </w:rPr>
              <w:t>Regulowany ogranicznik prędkości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Inteligentny system </w:t>
            </w:r>
            <w:r>
              <w:rPr>
                <w:rFonts w:ascii="Arial" w:hAnsi="Arial" w:cs="Arial"/>
                <w:szCs w:val="20"/>
                <w:lang w:val="pl-PL"/>
              </w:rPr>
              <w:t>oświetlenia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Wycieraczki z czujnikiem deszczu i czujnik zmierzchowy świateł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monitorowania martwego pola widzenia w lusterku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bookmarkStart w:id="0" w:name="__DdeLink__5052_2007628099"/>
            <w:r>
              <w:rPr>
                <w:rFonts w:ascii="Arial" w:hAnsi="Arial" w:cs="Arial"/>
                <w:szCs w:val="20"/>
                <w:lang w:val="pl-PL"/>
              </w:rPr>
              <w:t>System</w:t>
            </w:r>
            <w:bookmarkEnd w:id="0"/>
            <w:r>
              <w:rPr>
                <w:rFonts w:ascii="Arial" w:hAnsi="Arial" w:cs="Arial"/>
                <w:szCs w:val="20"/>
                <w:lang w:val="pl-PL"/>
              </w:rPr>
              <w:t xml:space="preserve"> ostrzegający przed pojazdami na drodze poprzecznej z aktywnym wspomaganiem hamowania</w:t>
            </w:r>
          </w:p>
        </w:tc>
      </w:tr>
      <w:tr w:rsidR="00A3318A">
        <w:tc>
          <w:tcPr>
            <w:tcW w:w="93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r>
              <w:rPr>
                <w:rFonts w:ascii="Arial" w:hAnsi="Arial" w:cs="Arial"/>
                <w:szCs w:val="20"/>
                <w:lang w:val="pl-PL"/>
              </w:rPr>
              <w:t>Tempomat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System </w:t>
            </w:r>
            <w:r>
              <w:rPr>
                <w:rFonts w:ascii="Arial" w:hAnsi="Arial" w:cs="Arial"/>
                <w:szCs w:val="20"/>
                <w:lang w:val="pl-PL"/>
              </w:rPr>
              <w:t>monitorowania koncentracji kierowcy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Asystent parkowania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ostrzegający o kolizji czołowej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Czujniki parkowania przednie i tylne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Wspomaganie ruszania pod górę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Inteligentny ogranicznik prędkości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System wczesnego informowania o niebezpieczeństwie na drodze 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Ostrzeganie o opuszczaniu pasa ruchu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Awaryjne wspomaganie hamowania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aktywnego wspomagania hamowania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Szerokokątna kamera cofania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Możliwości wyboru trybu jazdy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rozpoznawania zna</w:t>
            </w:r>
            <w:r>
              <w:rPr>
                <w:rFonts w:ascii="Arial" w:hAnsi="Arial" w:cs="Arial"/>
                <w:szCs w:val="20"/>
                <w:lang w:val="pl-PL"/>
              </w:rPr>
              <w:t>ków drogowych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ostrzegania przed jazdą pod prąd</w:t>
            </w:r>
          </w:p>
        </w:tc>
      </w:tr>
    </w:tbl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bCs/>
          <w:szCs w:val="20"/>
          <w:u w:val="single"/>
          <w:lang w:val="pl-PL"/>
        </w:rPr>
      </w:pPr>
      <w:r>
        <w:rPr>
          <w:rFonts w:ascii="Arial" w:hAnsi="Arial" w:cs="Arial"/>
          <w:bCs/>
          <w:szCs w:val="20"/>
          <w:vertAlign w:val="superscript"/>
          <w:lang w:val="pl-PL"/>
        </w:rPr>
        <w:t>KOMFORT≠</w:t>
      </w: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tbl>
      <w:tblPr>
        <w:tblW w:w="936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60"/>
      </w:tblGrid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audio B&amp;O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Ford 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MegaBox</w:t>
            </w:r>
            <w:proofErr w:type="spellEnd"/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Modem 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FordPass</w:t>
            </w:r>
            <w:proofErr w:type="spellEnd"/>
            <w:r>
              <w:rPr>
                <w:rFonts w:ascii="Arial" w:hAnsi="Arial" w:cs="Arial"/>
                <w:szCs w:val="20"/>
                <w:lang w:val="pl-PL"/>
              </w:rPr>
              <w:t xml:space="preserve"> Connect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Otwieranie drzwi bagażnika gestem</w:t>
            </w:r>
          </w:p>
        </w:tc>
      </w:tr>
      <w:tr w:rsidR="00A3318A" w:rsidRPr="001423B5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Fotele z regulowanym podparciem lędźwiowym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Panoramiczny otwierany dach szklany</w:t>
            </w:r>
          </w:p>
        </w:tc>
      </w:tr>
      <w:tr w:rsidR="00A3318A" w:rsidRPr="001423B5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SYNC3 z </w:t>
            </w:r>
            <w:r>
              <w:rPr>
                <w:rFonts w:ascii="Arial" w:hAnsi="Arial" w:cs="Arial"/>
                <w:szCs w:val="20"/>
                <w:lang w:val="pl-PL"/>
              </w:rPr>
              <w:t>8-calowym wyświetlaczem dotykowym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Ładowanie indukcyjne smartfonu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bCs/>
          <w:szCs w:val="20"/>
          <w:vertAlign w:val="superscript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  <w:r>
        <w:rPr>
          <w:rFonts w:ascii="Arial" w:eastAsia="Arial" w:hAnsi="Arial" w:cs="Arial"/>
          <w:bCs/>
          <w:szCs w:val="20"/>
          <w:vertAlign w:val="superscript"/>
          <w:lang w:val="pl-PL"/>
        </w:rPr>
        <w:t xml:space="preserve"># </w:t>
      </w:r>
      <w:r>
        <w:rPr>
          <w:rFonts w:ascii="Arial" w:hAnsi="Arial" w:cs="Arial"/>
          <w:bCs/>
          <w:sz w:val="18"/>
          <w:szCs w:val="18"/>
          <w:lang w:val="pl-PL"/>
        </w:rPr>
        <w:t>Zależnie od specyfikacji pojazdu i wybranych opcji.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UKŁAD KIEROWNICZY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92"/>
        <w:gridCol w:w="6373"/>
      </w:tblGrid>
      <w:tr w:rsidR="00A3318A" w:rsidRPr="001423B5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Przekładnia zębatkowa z elektrycznym wspomaganiem (EPAS)</w:t>
            </w:r>
          </w:p>
        </w:tc>
      </w:tr>
      <w:tr w:rsidR="00A3318A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Przełożenie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11.4:1</w:t>
            </w:r>
          </w:p>
        </w:tc>
      </w:tr>
      <w:tr w:rsidR="00A3318A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Średnica </w:t>
            </w:r>
            <w:r>
              <w:rPr>
                <w:rFonts w:ascii="Arial" w:hAnsi="Arial" w:cs="Arial"/>
                <w:szCs w:val="20"/>
                <w:lang w:val="pl-PL"/>
              </w:rPr>
              <w:t>zawracania (m)</w:t>
            </w:r>
          </w:p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między krawężnikami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11,2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PODWOZIE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92"/>
        <w:gridCol w:w="6373"/>
      </w:tblGrid>
      <w:tr w:rsidR="00A3318A" w:rsidRPr="001423B5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Zawieszenie z przodu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Niezależne na kolumnach 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MacPherson</w:t>
            </w:r>
            <w:proofErr w:type="spellEnd"/>
            <w:r>
              <w:rPr>
                <w:rFonts w:ascii="Arial" w:hAnsi="Arial" w:cs="Arial"/>
                <w:szCs w:val="20"/>
                <w:lang w:val="pl-PL"/>
              </w:rPr>
              <w:t>, reaktywne amortyzatory dwururowe Hitachi i stabilizator przechyłów 24,2 mm x 6 mm</w:t>
            </w:r>
          </w:p>
        </w:tc>
      </w:tr>
      <w:tr w:rsidR="00A3318A" w:rsidRPr="001423B5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Tylne zawieszenie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Belka skrętna z korekcją </w:t>
            </w:r>
            <w:r>
              <w:rPr>
                <w:rFonts w:ascii="Arial" w:hAnsi="Arial" w:cs="Arial"/>
                <w:szCs w:val="20"/>
                <w:lang w:val="pl-PL"/>
              </w:rPr>
              <w:t xml:space="preserve">zbieżności na tulejach, stabilizator przechyłów 28 mm. Sztywność skrętna belki 2000 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Nm</w:t>
            </w:r>
            <w:proofErr w:type="spellEnd"/>
            <w:r>
              <w:rPr>
                <w:rFonts w:ascii="Arial" w:hAnsi="Arial" w:cs="Arial"/>
                <w:szCs w:val="20"/>
                <w:lang w:val="pl-PL"/>
              </w:rPr>
              <w:t>/st. Sprężyny zawieszenia ze zmiennym kierunkiem działania, umieszczone pod podłogą, z oddzielnymi dwururowymi amortyzatorami Hitachi</w:t>
            </w:r>
          </w:p>
        </w:tc>
      </w:tr>
    </w:tbl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Hamulce</w:t>
      </w:r>
    </w:p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41"/>
        <w:gridCol w:w="2836"/>
        <w:gridCol w:w="2988"/>
      </w:tblGrid>
      <w:tr w:rsidR="00A3318A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snapToGrid w:val="0"/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Przednie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Tylne</w:t>
            </w:r>
          </w:p>
        </w:tc>
      </w:tr>
      <w:tr w:rsidR="00A3318A" w:rsidRPr="001423B5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Hamowania</w:t>
            </w:r>
          </w:p>
        </w:tc>
        <w:tc>
          <w:tcPr>
            <w:tcW w:w="5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dwuobwodowy, krzyżowy, sterowany hydraulicznie. Hamulce tarczowe z wentylowanymi tarczami z przodu.  Pełne tarcze z tyłu. Czterokanałowy elektronicznie sterowany układ przeciwdziałający blokowaniu kół podczas hamowania (ABS) z elektroniczny</w:t>
            </w:r>
            <w:r>
              <w:rPr>
                <w:rFonts w:ascii="Arial" w:hAnsi="Arial" w:cs="Arial"/>
                <w:szCs w:val="20"/>
                <w:lang w:val="pl-PL"/>
              </w:rPr>
              <w:t>m układem rozdziału siły hamowania (EBS), elektroniczny system kontroli stabilności (ESP) i wspomaganie hamowania awaryjnego (EBA). Opcjonalny układ awaryjnego hamowania (AEB) jako część systemu aktywnego wspomagania hamowania oraz System ostrzegający prze</w:t>
            </w:r>
            <w:r>
              <w:rPr>
                <w:rFonts w:ascii="Arial" w:hAnsi="Arial" w:cs="Arial"/>
                <w:szCs w:val="20"/>
                <w:lang w:val="pl-PL"/>
              </w:rPr>
              <w:t>d pojazdami na drodze poprzecznej z aktywnym wspomaganiem hamowania</w:t>
            </w:r>
          </w:p>
        </w:tc>
      </w:tr>
      <w:tr w:rsidR="00A3318A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Wymiary tarcz/bębnów (mm)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Ø325 x 27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Ø271 x 11</w:t>
            </w:r>
          </w:p>
        </w:tc>
      </w:tr>
      <w:tr w:rsidR="00A3318A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Średnice tłoczków hamulcowych (mm)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Ø57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Ø36</w:t>
            </w:r>
          </w:p>
        </w:tc>
      </w:tr>
    </w:tbl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KOŁA I OPONY</w:t>
      </w: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765"/>
      </w:tblGrid>
      <w:tr w:rsidR="00A3318A" w:rsidRPr="001423B5">
        <w:tc>
          <w:tcPr>
            <w:tcW w:w="8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19-calowe felgi aluminiowe (dostępne w wykończeniu magnetytowym i </w:t>
            </w:r>
            <w:r>
              <w:rPr>
                <w:rFonts w:ascii="Arial" w:hAnsi="Arial" w:cs="Arial"/>
                <w:bCs/>
                <w:szCs w:val="20"/>
                <w:lang w:val="pl-PL"/>
              </w:rPr>
              <w:t>metalowym), opony Michelin PS4S 225/40 R19</w:t>
            </w:r>
          </w:p>
        </w:tc>
      </w:tr>
    </w:tbl>
    <w:p w:rsidR="00A3318A" w:rsidRDefault="00A3318A">
      <w:pPr>
        <w:rPr>
          <w:rFonts w:ascii="Arial" w:hAnsi="Arial" w:cs="Arial"/>
          <w:b/>
          <w:caps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caps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caps/>
          <w:szCs w:val="20"/>
          <w:u w:val="single"/>
          <w:lang w:val="pl-PL"/>
        </w:rPr>
        <w:t>SILNIK BENZYNOWY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tbl>
      <w:tblPr>
        <w:tblW w:w="947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46"/>
        <w:gridCol w:w="1049"/>
        <w:gridCol w:w="6379"/>
      </w:tblGrid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 xml:space="preserve">1.5-litra </w:t>
            </w:r>
            <w:proofErr w:type="spellStart"/>
            <w:r>
              <w:rPr>
                <w:rFonts w:ascii="Arial" w:hAnsi="Arial" w:cs="Arial"/>
                <w:b/>
                <w:szCs w:val="20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b/>
                <w:szCs w:val="20"/>
                <w:lang w:val="pl-PL"/>
              </w:rPr>
              <w:br/>
              <w:t>200 KM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Typ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Rzędowy, trzycylindrowy, benzynowy, turbodoładowany, montowany poprzecznie Ti-VCT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Pojemność skokowa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cm</w:t>
            </w:r>
            <w:r>
              <w:rPr>
                <w:rFonts w:ascii="Arial" w:hAnsi="Arial" w:cs="Arial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1497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Średnica cylindra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mm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84.0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Skok tłoka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mm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90.0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Stopień sprężenia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9.7:1</w:t>
            </w:r>
          </w:p>
        </w:tc>
      </w:tr>
      <w:tr w:rsidR="00A3318A">
        <w:trPr>
          <w:cantSplit/>
        </w:trPr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Maks moc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KM (kW)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200 (147)</w:t>
            </w:r>
          </w:p>
        </w:tc>
      </w:tr>
      <w:tr w:rsidR="00A3318A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przy 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Cs w:val="20"/>
                <w:lang w:val="pl-PL"/>
              </w:rPr>
              <w:t>./min.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6000</w:t>
            </w:r>
          </w:p>
        </w:tc>
      </w:tr>
      <w:tr w:rsidR="00A3318A">
        <w:trPr>
          <w:cantSplit/>
        </w:trPr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Maksymalny </w:t>
            </w:r>
            <w:r>
              <w:rPr>
                <w:rFonts w:ascii="Arial" w:hAnsi="Arial" w:cs="Arial"/>
                <w:szCs w:val="20"/>
                <w:lang w:val="pl-PL"/>
              </w:rPr>
              <w:lastRenderedPageBreak/>
              <w:t>moment obrotowy w stanie ustabilizowanym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Cs w:val="20"/>
                <w:lang w:val="pl-PL"/>
              </w:rPr>
              <w:lastRenderedPageBreak/>
              <w:t>Nm</w:t>
            </w:r>
            <w:proofErr w:type="spellEnd"/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320</w:t>
            </w:r>
          </w:p>
        </w:tc>
      </w:tr>
      <w:tr w:rsidR="00A3318A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przy 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Cs w:val="20"/>
                <w:lang w:val="pl-PL"/>
              </w:rPr>
              <w:t>./min.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2500-3500</w:t>
            </w:r>
          </w:p>
        </w:tc>
      </w:tr>
      <w:tr w:rsidR="00A3318A" w:rsidRPr="001423B5">
        <w:trPr>
          <w:cantSplit/>
          <w:trHeight w:val="281"/>
        </w:trPr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rozrządu</w:t>
            </w:r>
          </w:p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Cylindry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lang w:val="pl-PL"/>
              </w:rPr>
            </w:pPr>
            <w:bookmarkStart w:id="1" w:name="OLE_LINK10"/>
            <w:bookmarkStart w:id="2" w:name="OLE_LINK9"/>
            <w:bookmarkEnd w:id="1"/>
            <w:bookmarkEnd w:id="2"/>
            <w:r>
              <w:rPr>
                <w:rFonts w:ascii="Arial" w:hAnsi="Arial" w:cs="Arial"/>
                <w:szCs w:val="20"/>
                <w:lang w:val="pl-PL"/>
              </w:rPr>
              <w:t xml:space="preserve">DOHC, 4 zawory na cylinder, 2 wałki z niezależną </w:t>
            </w:r>
            <w:r>
              <w:rPr>
                <w:rFonts w:ascii="Arial" w:hAnsi="Arial" w:cs="Arial"/>
                <w:szCs w:val="20"/>
                <w:lang w:val="pl-PL"/>
              </w:rPr>
              <w:t>regulacją faz rozrządu</w:t>
            </w:r>
          </w:p>
        </w:tc>
      </w:tr>
      <w:tr w:rsidR="00A3318A" w:rsidRPr="001423B5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 w rzędzie, z systemem odłączania cylindra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Głowica cylindra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Aluminiowe, odlewane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Blok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Aluminiowe, odlewane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Napęd rozrządu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Łańcuch z napinaczem hydraulicznym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Wał korbowy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Żeliwny, odlewany, </w:t>
            </w:r>
            <w:r>
              <w:rPr>
                <w:rFonts w:ascii="Arial" w:hAnsi="Arial" w:cs="Arial"/>
                <w:szCs w:val="20"/>
                <w:lang w:val="pl-PL"/>
              </w:rPr>
              <w:t>6 przeciwciężarów, 4 łożyska główne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Sterowanie pracą silnika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Bosch MG1CS016 z magistralą CAN i indywidualną kontrolą spalania stukowego każdego cylindra. Oprogramowanie FGEC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Wtrysk paliwa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Bezpośredni wtrysk paliwa z 6-dyszowymi </w:t>
            </w:r>
            <w:r>
              <w:rPr>
                <w:rFonts w:ascii="Arial" w:hAnsi="Arial" w:cs="Arial"/>
                <w:szCs w:val="20"/>
                <w:lang w:val="pl-PL"/>
              </w:rPr>
              <w:t>wtryskiwaczami (DI) plus 3 niskociśnieniowe wtryskiwacze pojedyncze do kolektora dolotowego (PFI)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Czystość spalin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Euro 6d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Redukcja emisji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Katalizator gwałtownego utleniania, filtr cząstek stałych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Turbosprężarka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Turbosprężarka Continental RAAX o </w:t>
            </w:r>
            <w:r>
              <w:rPr>
                <w:rFonts w:ascii="Arial" w:hAnsi="Arial" w:cs="Arial"/>
                <w:szCs w:val="20"/>
                <w:lang w:val="pl-PL"/>
              </w:rPr>
              <w:t>niskim momencie bezwładności wirnika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olejowy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Dwustopniowa pompa olejowa o zmiennym wydatku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chłodzenia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Pojedynczy termostat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Przekładnia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6-biegowa, manualna, z opcjonalnym mechanizmem różnicowy o ograniczonym poślizgu (LSD)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Przełożenia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6: 0,651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5: 0,775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4: 0,971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3: 1,290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2: 1,952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1: 3,583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Wsteczny: 3,333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Przeł. główne: 4,563</w:t>
            </w:r>
          </w:p>
        </w:tc>
      </w:tr>
    </w:tbl>
    <w:p w:rsidR="00A3318A" w:rsidRDefault="00A3318A">
      <w:pPr>
        <w:rPr>
          <w:lang w:val="pl-PL"/>
        </w:rPr>
      </w:pPr>
    </w:p>
    <w:p w:rsidR="00A3318A" w:rsidRDefault="00A3318A">
      <w:pPr>
        <w:tabs>
          <w:tab w:val="left" w:pos="5991"/>
        </w:tabs>
        <w:rPr>
          <w:rFonts w:ascii="Arial" w:hAnsi="Arial" w:cs="Arial"/>
          <w:szCs w:val="20"/>
          <w:lang w:val="pl-PL"/>
        </w:rPr>
      </w:pPr>
    </w:p>
    <w:p w:rsidR="00A3318A" w:rsidRDefault="00542DC5">
      <w:pPr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# # #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p w:rsidR="00A3318A" w:rsidRDefault="00542DC5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Oficjalne dane homologacyjne dotyczące zużycia energii zostaną podane przed rozpoczęciem sprzedaży. Deklarowane zużycie </w:t>
      </w:r>
      <w:r>
        <w:rPr>
          <w:rFonts w:ascii="Arial" w:hAnsi="Arial" w:cs="Arial"/>
          <w:lang w:val="pl-PL"/>
        </w:rPr>
        <w:t>paliwa/zużycie energii,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</w:t>
      </w:r>
      <w:r>
        <w:rPr>
          <w:rFonts w:ascii="Arial" w:hAnsi="Arial" w:cs="Arial"/>
          <w:lang w:val="pl-PL"/>
        </w:rPr>
        <w:t xml:space="preserve">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według obu cykli: NEDC (Nowego Europejskiego Cyklu Jaz</w:t>
      </w:r>
      <w:r>
        <w:rPr>
          <w:rFonts w:ascii="Arial" w:hAnsi="Arial" w:cs="Arial"/>
          <w:lang w:val="pl-PL"/>
        </w:rPr>
        <w:t>dy) i WLTP. WLTP w pełni zastąpi NEDC najpóźniej do końca 2020 roku. Przyjęta obecnie procedura testowa pozwala na porównanie wyników uzyskanych przez różne typy pojazdów oraz różnych producentów. W okresie przejściowym odchodzenia od pomiarów w cyklu NEDC</w:t>
      </w:r>
      <w:r>
        <w:rPr>
          <w:rFonts w:ascii="Arial" w:hAnsi="Arial" w:cs="Arial"/>
          <w:lang w:val="pl-PL"/>
        </w:rPr>
        <w:t>, zużycie paliwa i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>, ponieważ niektóre elem</w:t>
      </w:r>
      <w:r>
        <w:rPr>
          <w:rFonts w:ascii="Arial" w:hAnsi="Arial" w:cs="Arial"/>
          <w:lang w:val="pl-PL"/>
        </w:rPr>
        <w:t>enty testu uległy zmianie. Na przykład ten sam samochód może mieć inne zużycie paliwa i emisję CO2 mierzone według NEDC oraz WLPT.</w:t>
      </w:r>
    </w:p>
    <w:p w:rsidR="00A3318A" w:rsidRDefault="00A3318A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A3318A" w:rsidRDefault="00A3318A">
      <w:pPr>
        <w:tabs>
          <w:tab w:val="left" w:pos="5991"/>
        </w:tabs>
      </w:pPr>
      <w:bookmarkStart w:id="3" w:name="_GoBack"/>
      <w:bookmarkEnd w:id="3"/>
    </w:p>
    <w:sectPr w:rsidR="00A3318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C5" w:rsidRDefault="00542DC5">
      <w:r>
        <w:separator/>
      </w:r>
    </w:p>
  </w:endnote>
  <w:endnote w:type="continuationSeparator" w:id="0">
    <w:p w:rsidR="00542DC5" w:rsidRDefault="005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8A" w:rsidRDefault="001423B5">
    <w:pPr>
      <w:pStyle w:val="Stopka"/>
      <w:rPr>
        <w:sz w:val="2"/>
        <w:lang w:val="pl-PL"/>
      </w:rPr>
    </w:pPr>
    <w:r>
      <w:rPr>
        <w:noProof/>
      </w:rPr>
      <w:pict>
        <v:rect id="Ramka1" o:spid="_x0000_s2050" style="position:absolute;margin-left:0;margin-top:.05pt;width:55.4pt;height:11.5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" filled="f" stroked="f">
          <v:textbox>
            <w:txbxContent>
              <w:p w:rsidR="00A3318A" w:rsidRDefault="00542DC5">
                <w:pPr>
                  <w:pStyle w:val="Stopka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A3318A" w:rsidRPr="001423B5">
      <w:tc>
        <w:tcPr>
          <w:tcW w:w="9467" w:type="dxa"/>
          <w:shd w:val="clear" w:color="auto" w:fill="auto"/>
        </w:tcPr>
        <w:p w:rsidR="00A3318A" w:rsidRDefault="00A3318A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:rsidR="00A3318A" w:rsidRDefault="00A3318A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:rsidR="00A3318A" w:rsidRPr="001423B5" w:rsidRDefault="00542DC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</w:t>
            </w:r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:rsidR="00A3318A" w:rsidRPr="001423B5" w:rsidRDefault="00542DC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:rsidR="00A3318A" w:rsidRDefault="00A3318A">
          <w:pPr>
            <w:pStyle w:val="Stopka"/>
            <w:snapToGrid w:val="0"/>
            <w:rPr>
              <w:lang w:val="pl-PL"/>
            </w:rPr>
          </w:pPr>
        </w:p>
      </w:tc>
    </w:tr>
  </w:tbl>
  <w:p w:rsidR="00A3318A" w:rsidRDefault="00A3318A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8A" w:rsidRDefault="00A3318A">
    <w:pPr>
      <w:pStyle w:val="Stopka"/>
      <w:jc w:val="center"/>
      <w:rPr>
        <w:lang w:val="pl-PL"/>
      </w:rPr>
    </w:pPr>
  </w:p>
  <w:p w:rsidR="00A3318A" w:rsidRDefault="00A3318A">
    <w:pPr>
      <w:pStyle w:val="Stopka"/>
      <w:jc w:val="center"/>
      <w:rPr>
        <w:lang w:val="pl-PL"/>
      </w:rPr>
    </w:pPr>
  </w:p>
  <w:p w:rsidR="00A3318A" w:rsidRPr="001423B5" w:rsidRDefault="00542DC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</w:t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. </w:t>
    </w:r>
  </w:p>
  <w:p w:rsidR="00A3318A" w:rsidRPr="001423B5" w:rsidRDefault="00542DC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C5" w:rsidRDefault="00542DC5">
      <w:r>
        <w:separator/>
      </w:r>
    </w:p>
  </w:footnote>
  <w:footnote w:type="continuationSeparator" w:id="0">
    <w:p w:rsidR="00542DC5" w:rsidRDefault="0054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8A" w:rsidRDefault="00A3318A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8A" w:rsidRDefault="001423B5">
    <w:pPr>
      <w:pStyle w:val="Gwka"/>
      <w:tabs>
        <w:tab w:val="left" w:pos="1483"/>
      </w:tabs>
      <w:ind w:left="360"/>
      <w:rPr>
        <w:lang w:val="pl-PL"/>
      </w:rPr>
    </w:pPr>
    <w:r>
      <w:rPr>
        <w:noProof/>
      </w:rPr>
      <w:pict>
        <v:line id="Line 1" o:spid="_x0000_s2049" style="position:absolute;left:0;text-align:left;flip:x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4.1pt,6.75pt" to="84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" strokeweight=".35mm">
          <v:stroke joinstyle="miter"/>
        </v:line>
      </w:pict>
    </w:r>
    <w:r w:rsidR="00542DC5">
      <w:rPr>
        <w:noProof/>
      </w:rPr>
      <w:drawing>
        <wp:anchor distT="0" distB="0" distL="114935" distR="114935" simplePos="0" relativeHeight="8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2DC5">
      <w:rPr>
        <w:rFonts w:ascii="Book Antiqua" w:hAnsi="Book Antiqua" w:cs="Book Antiqua"/>
        <w:smallCaps/>
        <w:position w:val="48"/>
        <w:sz w:val="48"/>
        <w:szCs w:val="48"/>
        <w:lang w:val="pl-PL"/>
      </w:rPr>
      <w:t xml:space="preserve">               SPECYFIKACJA TECHNICZNA</w:t>
    </w:r>
    <w:r w:rsidR="00542DC5">
      <w:rPr>
        <w:rFonts w:ascii="Book Antiqua" w:hAnsi="Book Antiqua" w:cs="Book Antiqua"/>
        <w:smallCaps/>
        <w:position w:val="48"/>
        <w:sz w:val="48"/>
        <w:szCs w:val="48"/>
        <w:lang w:val="pl-PL"/>
      </w:rPr>
      <w:tab/>
    </w:r>
    <w:r w:rsidR="00542DC5">
      <w:rPr>
        <w:rFonts w:ascii="Book Antiqua" w:hAnsi="Book Antiqua" w:cs="Book Antiqua"/>
        <w:smallCaps/>
        <w:position w:val="48"/>
        <w:sz w:val="48"/>
        <w:szCs w:val="48"/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18A"/>
    <w:rsid w:val="0011491A"/>
    <w:rsid w:val="001423B5"/>
    <w:rsid w:val="00542DC5"/>
    <w:rsid w:val="00A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D8FEEF6-8277-40E9-996D-B2D18B9E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pPr>
      <w:spacing w:before="20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pPr>
      <w:spacing w:before="14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szCs w:val="24"/>
      <w:lang w:val="en-GB"/>
    </w:rPr>
  </w:style>
  <w:style w:type="character" w:customStyle="1" w:styleId="HeaderChar">
    <w:name w:val="Header Char"/>
    <w:qFormat/>
    <w:rPr>
      <w:szCs w:val="24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</w:style>
  <w:style w:type="paragraph" w:customStyle="1" w:styleId="Stopka">
    <w:name w:val="Stopka"/>
    <w:basedOn w:val="Normal"/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val="en-GB" w:bidi="ar-SA"/>
    </w:rPr>
  </w:style>
  <w:style w:type="paragraph" w:customStyle="1" w:styleId="MediumList2-Accent21">
    <w:name w:val="Medium List 2 - Accent 21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MediumShading1-Accent11">
    <w:name w:val="Medium Shading 1 - Accent 11"/>
    <w:qFormat/>
    <w:pPr>
      <w:suppressAutoHyphens/>
    </w:pPr>
    <w:rPr>
      <w:rFonts w:eastAsia="Times New Roman" w:cs="Times New Roman"/>
      <w:color w:val="00000A"/>
      <w:sz w:val="20"/>
      <w:lang w:val="en-US" w:bidi="ar-SA"/>
    </w:rPr>
  </w:style>
  <w:style w:type="paragraph" w:customStyle="1" w:styleId="Style27">
    <w:name w:val="Style27"/>
    <w:basedOn w:val="Normal"/>
    <w:qFormat/>
    <w:pPr>
      <w:overflowPunct w:val="0"/>
      <w:textAlignment w:val="baseline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"/>
    <w:qFormat/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Golebiowski, Andrzej (A.)</cp:lastModifiedBy>
  <cp:revision>5</cp:revision>
  <dcterms:created xsi:type="dcterms:W3CDTF">2020-07-13T07:51:00Z</dcterms:created>
  <dcterms:modified xsi:type="dcterms:W3CDTF">2020-09-23T13:07:00Z</dcterms:modified>
  <dc:language>pl-PL</dc:language>
</cp:coreProperties>
</file>