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8A25" w14:textId="77777777" w:rsidR="0032520D" w:rsidRPr="0032520D" w:rsidRDefault="0032520D" w:rsidP="0032520D">
      <w:pPr>
        <w:pStyle w:val="BodyText2"/>
        <w:spacing w:line="240" w:lineRule="auto"/>
        <w:rPr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Cicha jazda w trybie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bezemisyjnym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, luksus dla 7 pasażerów i duże możliwości w terenie: Ford Explorer Plug-In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Hybrid</w:t>
      </w:r>
      <w:proofErr w:type="spellEnd"/>
    </w:p>
    <w:p w14:paraId="7C90596C" w14:textId="77777777" w:rsidR="0032520D" w:rsidRDefault="0032520D" w:rsidP="0032520D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8C375FA" w14:textId="77777777" w:rsidR="0032520D" w:rsidRDefault="0032520D" w:rsidP="0032520D">
      <w:pPr>
        <w:numPr>
          <w:ilvl w:val="0"/>
          <w:numId w:val="39"/>
        </w:numPr>
      </w:pPr>
      <w:r>
        <w:rPr>
          <w:rFonts w:ascii="Arial" w:hAnsi="Arial" w:cs="Arial"/>
          <w:sz w:val="22"/>
          <w:szCs w:val="22"/>
          <w:lang w:val="pl-PL"/>
        </w:rPr>
        <w:t xml:space="preserve">Nowy, siedmiomiejscowy SUV, Ford Explorer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dysponujący mocą 457 KM i momentem obrotowym 825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generowanymi przez hybrydowy zespół silnika benzynowego i elektrycznego, jest zdolny pokonać 48 km w trybie jazdy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bezemisyjnej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(wg. NEDC) </w:t>
      </w:r>
    </w:p>
    <w:p w14:paraId="0D91C779" w14:textId="77777777" w:rsidR="0032520D" w:rsidRDefault="0032520D" w:rsidP="0032520D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2C9E23A8" w14:textId="77777777" w:rsidR="0032520D" w:rsidRDefault="0032520D" w:rsidP="0032520D">
      <w:pPr>
        <w:numPr>
          <w:ilvl w:val="0"/>
          <w:numId w:val="3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Napęd na wszystkie koła w standardzie,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Terrain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Management i siedem trybów jazdy zapewniają kompromis między komfortem, oszczędnością i możliwościami na różnych drogach i bezdrożach</w:t>
      </w:r>
    </w:p>
    <w:p w14:paraId="49CAAE6F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7F92C052" w14:textId="77777777" w:rsidR="0032520D" w:rsidRPr="0032520D" w:rsidRDefault="0032520D" w:rsidP="0032520D">
      <w:pPr>
        <w:numPr>
          <w:ilvl w:val="0"/>
          <w:numId w:val="39"/>
        </w:num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Przestronne i funkcjonalne wnętrze wyposażone w 10,1-calowy ekran dotykowy, z systemem SYNC 3, standardowo montowany modem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Connect, system audio B&amp;O oraz łatwy w obsłudze system elastycznej konfiguracji foteli</w:t>
      </w:r>
    </w:p>
    <w:p w14:paraId="76DD9F42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2F339C9E" w14:textId="6F73212C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807215">
        <w:rPr>
          <w:rFonts w:ascii="Arial" w:hAnsi="Arial" w:cs="Arial"/>
          <w:b/>
          <w:sz w:val="22"/>
          <w:szCs w:val="22"/>
          <w:lang w:val="pl-PL"/>
        </w:rPr>
        <w:t>31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  <w:lang w:val="pl-PL"/>
        </w:rPr>
        <w:t xml:space="preserve"> sierpnia 2020 roku</w:t>
      </w:r>
      <w:r>
        <w:rPr>
          <w:rFonts w:ascii="Arial" w:hAnsi="Arial" w:cs="Arial"/>
          <w:sz w:val="22"/>
          <w:szCs w:val="22"/>
          <w:lang w:val="pl-PL"/>
        </w:rPr>
        <w:t xml:space="preserve"> – Do europejskich klientów trafia nowy hybrydowy Ford Explorer Plug-In, oferujący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tryb jazdy, komfort i doskonałe parametry terenowe. Pod koniec ubiegłego roku rozpoczęto w Europie sprzedaż wersji siedmiomiejscowej SUV-a.</w:t>
      </w:r>
    </w:p>
    <w:p w14:paraId="6A0C13C4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6C5F3325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Explorera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napędza układ, łączący mocny 3-litrowy silnik benzynowy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V6 z silnikiem elektrycznym oraz generator i akumulator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-jonowy o pojemności 13,6 kWh, który można ładować z zewnętrznego źródła energii, a także poprzez regeneracyjne ładowanie podczas jazdy. Układ napędowy generuje łącznie 457 KM mocy i 825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obrotowego, co czyni ten model najmocniejszym pojazdem hybrydowym w gamie Forda.</w:t>
      </w:r>
    </w:p>
    <w:p w14:paraId="1B3A16B1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1E854EB5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Zaawansowany układ przeniesienia napędu, składający się z 10–biegowej automatycznej skrzyni biegów Forda, systemu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Intelligent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All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-Wheel Drive i systemu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Terrain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Management z siedmioma trybami jazdy, zapewnia możliwość komfortowego przewozu siedmiu pasażerów, holowania przyczepy do 2 500 kg i umożliwia przejechanie w trybie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bezemisyjnym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48 km (wg cyklu NEDC), (42 km WLTP). Minimalne zużycie paliwa wynosi 2.9 l/100km wg cyklu pomiarowego NEDC (od 3.1 l/100 km wg WLTP), a emisja 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od 66 g/km NEDC (71 g/km WLTP).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7B293763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773ED5A9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Dzięki kompleksowemu pakietowi systemów wspomagających kierowcę i najwyższej klasy dodatkom podnoszącym komfort, nowy Explorer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gwarantuje pewność prowadzenia i wygodę podczas podróży wszystkim pasażerom, niezależnie od wybranego rodzaju drogi.</w:t>
      </w:r>
    </w:p>
    <w:p w14:paraId="4097A89C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152C3806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Komplet systemów, w tym tempomat adaptacyjny z funkcją Stop &amp; Go, system rozpoznawania znaków ograniczenia prędkości (SSR) i System utrzymania pojazdu na środku pasa ruchu (LCA) oraz nowy Asystent hamowania przy cofaniu sprawia, że jazda jest bardziej intuicyjna i mniej stresująca.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Relaks i komunikację w podróży gwarantują w wersji ST-Line, jak i Platinum: 14–głośnikowy system audio B&amp;O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>, 10,1</w:t>
      </w:r>
      <w:r>
        <w:rPr>
          <w:rFonts w:ascii="Arial" w:hAnsi="Arial" w:cs="Arial"/>
          <w:sz w:val="22"/>
          <w:szCs w:val="22"/>
          <w:lang w:val="pl-PL"/>
        </w:rPr>
        <w:noBreakHyphen/>
        <w:t xml:space="preserve">calowy ekran dotykowy, modem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 xml:space="preserve"> oraz trójstrefowa elektroniczna regulacja temperatury.</w:t>
      </w:r>
    </w:p>
    <w:p w14:paraId="5C6DFF5E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02EA940A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Explorer Plug-In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to synonim wszechstronności – powiedział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Matthias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Tonn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, główny inżynier programu Explorer w Europie.</w:t>
      </w:r>
      <w:r>
        <w:rPr>
          <w:rFonts w:ascii="Arial" w:hAnsi="Arial" w:cs="Arial"/>
          <w:sz w:val="22"/>
          <w:szCs w:val="22"/>
          <w:lang w:val="pl-PL"/>
        </w:rPr>
        <w:t xml:space="preserve"> – Nigdy wcześniej nie oferowaliśmy pojazdu, który radziłby sobie w trudnym terenie, z łatwością holował łódź i jeździł po mieście z wykorzystaniem czystej energii elektrycznej – a wszystko to w luksusowym, komfortowym wnętrzu.</w:t>
      </w:r>
    </w:p>
    <w:p w14:paraId="7C3E03C5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722388FD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Explorer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jednym z 18 zelektryfikowanych pojazdów, które Ford zamierza wprowadzić na rynek europejski przed końcem 2021. r.</w:t>
      </w:r>
    </w:p>
    <w:p w14:paraId="584B3C62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595859C9" w14:textId="77777777" w:rsidR="0032520D" w:rsidRDefault="0032520D" w:rsidP="0032520D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Jazda w trybie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bezemisyjnym</w:t>
      </w:r>
      <w:proofErr w:type="spellEnd"/>
    </w:p>
    <w:p w14:paraId="2D795A39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Zespół napędowy Explorera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 zasięg i osiągi oferowane przez nowoczesne, zaawansowane silniki spalinowe, dodając do tego sprawność i płynność działania elektrycznego układu napędowego.</w:t>
      </w:r>
    </w:p>
    <w:p w14:paraId="23870D42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0F145A92" w14:textId="56990E12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Silnik elektryczny umożliwia Explorerowi jazdę z napędem wyłącznie elektrycznym przy zerowej emisji spalin, a kierowca może wybrać, kiedy i jak wykorzystać energię zgromadzoną w akumulatorze, używając odpowiednio trybów jazdy EV Auto, EV Teraz, EV Później i EV Ładowanie. Gdy akumulator osiągnie minimalny stan naładowania, układ napędowy automatycznie powraca do trybu EV Auto, w którym silnik elektryczny wspomaga silnik benzynowy, korzystając z energii elektrycznej odzyskanej przy hamowaniu, celem zmniejszenia zużycia paliwa. </w:t>
      </w:r>
    </w:p>
    <w:p w14:paraId="1AE3525B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1DDB3332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Pełne naładowanie akumulatora z zewnętrznego źródła zasilania 230 V zajmie około 5 godzin i 50 minut, a z opcjonalnej, montowanej na ścianie ładowarki Ford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Connected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Wallbox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lub ładowarki w publicznej stacji ładowania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Charging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Network zajmuje mniej niż 4 godziny 20 minut.</w:t>
      </w:r>
    </w:p>
    <w:p w14:paraId="7D47B93C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439A3C37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Równoległa hybrydowa architektura Explorera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umożliwia jednoczesne wykorzystanie pełnej mocy i momentu obrotowego zarówno silnika benzynowego, jak i silnika elektrycznego, co zwiększa możliwości samochodu w terenie, poprawia osiągi drogowe, a w połączeniu z inteligentną technologią napędu na wszystkie koła, umożliwia wygodne holowanie przyczepy do przewozu wierzchowca, łodzi lub dużej 2,5-tonowej przyczepy. </w:t>
      </w:r>
    </w:p>
    <w:p w14:paraId="0F04E8EB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4A68382B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Zaawansowany system inteligentnego napędu na wszystkie koła co 10 milisekund analizuje dane z kilkudziesięciu czujników, w tym mierzących prędkość pojazdu, odchylenie kursu jazdy, temperaturę otaczającego powietrza, poślizg kół i zachowanie holowanej przyczepy. Zupełnie nowa, jednobiegowa przekładnia rozdzielcza, wyposażona w sprzęgło elektromechaniczne, może płynnie zmieniać rozdział momentu obrotowego między przednie i tylne koła w ciągu 100 milisekund, aby zapewnić skuteczniejsze i bezpieczniejsze wykorzystanie przyczepności kół. </w:t>
      </w:r>
    </w:p>
    <w:p w14:paraId="1B3F9753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719D0C7D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Podobnie jak w przypadku 10-biegowej przekładni automatycznej, która dodatkowo poprawia oszczędność paliwa i kulturę jazdy, system wykorzystuje adaptacyjne algorytmy uczenia się, aby nieustannie modyfikować swoje reakcje i uzyskiwać lepsze osiągi i komfort jazdy.</w:t>
      </w:r>
    </w:p>
    <w:p w14:paraId="30F5003C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4216DC22" w14:textId="1C1633B6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zarządzania jazdą Explorera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terenie wykorzystuje zmienne tryby jazdy, by umożliwić kierowcy dostosowanie samochodu do warunków drogowych, pogodowych i terenowych na każde żądanie. Dostępne tryby to Normalny, Sportowy, Droga nieutwardzona, Śliska nawierzchnia, Holowanie, Eco oraz Śnieg/Piasek – każdy zobrazowany grafiką </w:t>
      </w:r>
      <w:r>
        <w:rPr>
          <w:rFonts w:ascii="Arial" w:hAnsi="Arial" w:cs="Arial"/>
          <w:sz w:val="22"/>
          <w:szCs w:val="22"/>
          <w:lang w:val="pl-PL"/>
        </w:rPr>
        <w:lastRenderedPageBreak/>
        <w:t>dostosowaną do jego specyfiki, prezentowaną na wyświetlaczu o przekątnej 12,3 cala. Kontrola zjazdu ze wzniesienia dodatkowo pomaga w łagodzeniu kłopotów w terenie.</w:t>
      </w:r>
    </w:p>
    <w:p w14:paraId="0207D222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0115044C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Systemy wspomagające</w:t>
      </w:r>
    </w:p>
    <w:p w14:paraId="1E5295F4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Wyrafinowane systemy wspomagania kierowcy, oferowane jako standard, zostały zaprojektowane w celu ułatwienia prowadzenia dużego pojazdu, zarówno w środowisku miejskim, jak i na autostradzie.</w:t>
      </w:r>
    </w:p>
    <w:p w14:paraId="614F80E8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42113815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wspomagający parkowanie Active Park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2 umożliwia w pełni zautomatyzowane manewry przy parkowaniu równoległym lub prostopadłym, po naciśnięciu jednego przycisku. System może również pomóc kierowcy w wyprowadzeniu samochodu z równoległych miejsc parkingowych dzięki w pełni zautomatyzowanej funkcji wspomagania wyjazdu z parkingu.</w:t>
      </w:r>
    </w:p>
    <w:p w14:paraId="29A16016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2EEFF965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monitorowania martwego pola z funkcją ostrzegania przed pojazdami na drodze poprzecznej (Cross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Alert) ostrzega kierowcę wycofującego z miejsca parkowania, że za chwilę tor jazdy za samochodem przetnie inny pojazd. Ponadto, wprowadzony po raz pierwszy w Europie asystent hamowania przy cofaniu (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Reverse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Brake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>
        <w:rPr>
          <w:rFonts w:ascii="Arial" w:hAnsi="Arial" w:cs="Arial"/>
          <w:sz w:val="22"/>
          <w:szCs w:val="22"/>
          <w:lang w:val="pl-PL"/>
        </w:rPr>
        <w:t>) wykorzystuje kamerę, czujniki radarowe i ultradźwiękowe do wykrywania na drodze pojazdu obiektów, mierzących ponad 28 cm wysokości i 7,5 cm szerokości. Może on automatycznie włączyć hamulce, aby uniknąć kolizji, gdy pojazd cofa z niewielką prędkością od 1,5 km/h do 12 km/h. System kamer 360 stopni jest wyposażeniem standardowym.</w:t>
      </w:r>
    </w:p>
    <w:p w14:paraId="473F6385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65D9B843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Pakiet aktywnego wspomagania hamowania z funkcją awaryjnego hamowania, może wykryć ludzi i rowerzystów na drodze lub w jej pobliżu, a także osoby, które mogą przeciąć tor pojazdu i automatycznie uruchamia hamulce, jeśli sytuacja zapowiada potencjalną kolizję, a kierowca nie reaguje na ostrzeżenia.</w:t>
      </w:r>
    </w:p>
    <w:p w14:paraId="6C7EBF19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55761D57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Poruszanie się w miejskich korkach, jazda autostradą i długie podróże są mniej stresujące dzięki tempomatowi adaptacyjnemu (ACC) z funkcją Stop &amp; Go, z rozpoznawaniem znaków ograniczenia prędkości i funkcją utrzymywania samochodu na pasie ruchu. System ten pomaga Explorerowi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utrzymywaniu komfortowej odległości od pojazdów jadących z przodu i może pomóc kierowcy w utrzymaniu pojazdu na środku jego pasa ruchu. ACC może dostosować prędkość pojazdu do dopuszczalnych limitów, monitorując znaki drogowe umieszczone przy drodze i nad drogą, a także korzystając z informacji z pokładowego systemu nawigacyjnego.</w:t>
      </w:r>
    </w:p>
    <w:p w14:paraId="2F5064CE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3A37F047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Funkcja Stop &amp; Go umożliwia systemowi ACC całkowite zatrzymanie pojazdu w gęstym ruchu miejskim, a następnie automatyczne ruszenie z miejsca, jeśli czas zatrzymania jest </w:t>
      </w:r>
      <w:proofErr w:type="gramStart"/>
      <w:r>
        <w:rPr>
          <w:rFonts w:ascii="Arial" w:hAnsi="Arial" w:cs="Arial"/>
          <w:sz w:val="22"/>
          <w:szCs w:val="22"/>
          <w:lang w:val="pl-PL"/>
        </w:rPr>
        <w:t>krótszy,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niż 3 sekundy, a także ruszenie po naciśnięciu przycisku, jeśli zatrzymanie trwało dłużej niż 3 sekundy.</w:t>
      </w:r>
    </w:p>
    <w:p w14:paraId="0F09AB8A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01067526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Nie chodzi nam o wypełnienie samochodu nowoczesnymi rozwiązaniami technologicznymi tylko dlatego, że takie mamy – powiedział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Torsten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Wey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, menedżer systemów wspomagania kierowcy i bezpieczeństwa Ford of Europe.</w:t>
      </w:r>
      <w:r>
        <w:rPr>
          <w:rFonts w:ascii="Arial" w:hAnsi="Arial" w:cs="Arial"/>
          <w:sz w:val="22"/>
          <w:szCs w:val="22"/>
          <w:lang w:val="pl-PL"/>
        </w:rPr>
        <w:t xml:space="preserve"> – Chodzi o poprawę jakości podróży, zmniejszenie stresu podczas jazdy i budowanie poczucia pewności siebie u kierowcy.</w:t>
      </w:r>
    </w:p>
    <w:p w14:paraId="6FC8E621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09316A17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Kolejnym rozwiązaniem w Explorerze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które pomaga kierowcy w unikaniu lub łagodzeniu skutków wypadków, jest system utrzymywania pasa ruchu – jeden z wielu, które </w:t>
      </w:r>
      <w:r>
        <w:rPr>
          <w:rFonts w:ascii="Arial" w:hAnsi="Arial" w:cs="Arial"/>
          <w:sz w:val="22"/>
          <w:szCs w:val="22"/>
          <w:lang w:val="pl-PL"/>
        </w:rPr>
        <w:lastRenderedPageBreak/>
        <w:t>przyczyniły się do uzyskania przez ten model maksymalnej, pięciogwiazdkowej oceny w niezależnych testach bezpieczeństwa Euro NCAP.</w:t>
      </w:r>
    </w:p>
    <w:p w14:paraId="47BFBB2A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217C06B0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Euro NCAP przyznało też Explorerowi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najwyższą ocenę w zakresie ochrony osób dorosłych i dzieci. Pierwszy raz zastosowany w branży motoryzacyjnej proces produkcyjny umożliwił włączenie stalowych rur martenzytycznych o wysokiej wytrzymałości w strukturę słupków przedniej szyby pojazdu i belek dachowych, przez co powstała jeszcze solidniejsza klatka bezpieczeństwa dla pasażerów.</w:t>
      </w:r>
    </w:p>
    <w:p w14:paraId="2E194BE8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1B81BF14" w14:textId="77777777" w:rsidR="0032520D" w:rsidRDefault="0032520D" w:rsidP="0032520D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Przestrzeń dla ciebie i twoich spraw</w:t>
      </w:r>
    </w:p>
    <w:p w14:paraId="5B8C13CB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Projektanci w pełni wykorzystali potężną posturę Explorera, tworząc wygodne i przestronne wnętrze dla siedmiu dorosłych osób. Każdy z pasażerów wszystkich trzech rzędów ma do dyspozycji prawie 1 metr przestrzeni od siedziska do dachu oraz ponad 1,5 metra szerokości na linii barków i bioder i może cieszyć się luksusem i praktycznymi dodatkami kabiny Explorera, w tym pięcioma gniazdami zasilania 12 V, dwoma gniazdami USB dla pierwszego i drugiego rzędu, dwunastoma uchwytami na kubki, a także trójstrefową klimatyzacją.</w:t>
      </w:r>
    </w:p>
    <w:p w14:paraId="27E02F0F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5E7A23E5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Siedem foteli pozwala też na wyjątkowo elastyczne kształtowanie przestrzeni, z aż 2274 litrami przestrzeni ładunkowej w układzie dwumiejscowym. Dostępna dla trzeciego rzędu siedzeń funkcja Power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Raise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umożliwiająca składanie siedzeń na płasko za naciśnięciem guzika, upraszcza przekształcanie przestrzeni według potrzeb pasażerów, natomiast w samej kabinie podróżujący mają do dyspozycji schowki o łącznej pojemności 123 litrów.</w:t>
      </w:r>
    </w:p>
    <w:p w14:paraId="0EBFF30B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74DBA138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funkcji zwiększających komfort, dostarczanych w wyposażeniu standardowym, należą: podgrzewane i chłodzone przednie fotele z funkcją masażu i elektryczną regulacją położenia w 10 pozycjach, podgrzewane siedzenia w drugim rzędzie, bezprzewodowa ładowarka do kompatybilnych urządzeń mobilnych, podgrzewana kierownica, chowane zasłony przeciwsłoneczne w drugim rzędzie siedzeń, przyciemniane szyby w drugim i trzecim rzędzie oraz 14-głośnikowy, 980-watowy system audio B&amp;O.  </w:t>
      </w:r>
    </w:p>
    <w:p w14:paraId="28C4D256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21C603C9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Elementem standardowego wyposażenia jest również modem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Connect, umożliwiający zdalną kontrolę wybranych funkcji pojazdu z dowolnego miejsca poprzez sygnał transmisji danych sieci komórkowej za pomocą aplikacji mobilnej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>. Są wśród nich: funkcja zdalnego ryglowania i odryglowania zamków drzwi, zdalnego uruchomienia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, lokalizacja pojazdu, funkcja statusu pojazdu, która informuje kierowcę o poziomie paliwa w zbiorniku, stanie instalacji alarmowej, ciśnienia w oponach oraz konieczności wymiany oleju. </w:t>
      </w:r>
    </w:p>
    <w:p w14:paraId="448C07FE" w14:textId="77777777" w:rsidR="0032520D" w:rsidRDefault="0032520D" w:rsidP="0032520D">
      <w:pPr>
        <w:pStyle w:val="ListParagraph"/>
        <w:spacing w:line="252" w:lineRule="auto"/>
        <w:rPr>
          <w:rFonts w:ascii="Arial" w:hAnsi="Arial" w:cs="Arial"/>
          <w:sz w:val="22"/>
          <w:szCs w:val="22"/>
          <w:lang w:val="pl-PL"/>
        </w:rPr>
      </w:pPr>
    </w:p>
    <w:p w14:paraId="4B1B6A2C" w14:textId="77777777" w:rsidR="0032520D" w:rsidRDefault="0032520D" w:rsidP="0032520D">
      <w:pPr>
        <w:pStyle w:val="ListParagraph"/>
        <w:spacing w:line="252" w:lineRule="auto"/>
        <w:ind w:left="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Aplikacja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 również nowe funkcje, dzięki którym korzystanie z samochodu posiadającego zelektryfikowany układ napędowy staje się dla właścicieli Explorera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źródłem większej satysfakcji. Mają oni możliwość monitorowania poziomu naładowania akumulatora, mogą skorzystać z wyszukiwarki stacji ładowania, historii podróży i ładowania, ułatwiającej monitorowanie i śledzenie zużycia paliwa oraz energii. Są też funkcje pomagające kierowcom w pełni wykorzystać czas przeznaczony na ładowanie pojazdu oraz tańsze taryfy opłat za energię elektryczną, poprzez zaprogramowanie oczekiwanego pułapu opłat i zamówienie powiadomień o kosztach.</w:t>
      </w:r>
    </w:p>
    <w:p w14:paraId="75C4FE16" w14:textId="77777777" w:rsidR="0032520D" w:rsidRDefault="0032520D" w:rsidP="0032520D">
      <w:pPr>
        <w:pStyle w:val="ListParagraph"/>
        <w:spacing w:line="252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2154859C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10,1–calowy pionowy ekran dotykowy, będący wyposażeniem standardowym wersji Platinum i ST-Line, pozwala na wyświetlenie mapy systemu nawigacyjnego na całej powierzchni ekranu, ułatwiając orientację w terenie, ale możliwy jest też podział powierzchni ekranu pomiędzy mapę </w:t>
      </w:r>
      <w:r>
        <w:rPr>
          <w:rFonts w:ascii="Arial" w:hAnsi="Arial" w:cs="Arial"/>
          <w:sz w:val="22"/>
          <w:szCs w:val="22"/>
          <w:lang w:val="pl-PL"/>
        </w:rPr>
        <w:lastRenderedPageBreak/>
        <w:t>i informacje systemu audio. Ekran pojemnościowy zbudowany w technologii używanej w ekranach smartfonów i tabletów, zapewnia szybszą i bardziej precyzyjną interakcję z systemem informacji i rozrywki SYNC 3.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6</w:t>
      </w:r>
    </w:p>
    <w:p w14:paraId="42966FA3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2045A260" w14:textId="77777777" w:rsidR="0032520D" w:rsidRDefault="0032520D" w:rsidP="0032520D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Indywidualista z charakterem</w:t>
      </w:r>
    </w:p>
    <w:p w14:paraId="2A72EE67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Wersje Platinum i ST-Line dodają indywidualizmu wyrazistej sylwetce SUV-a i nowoczesnemu wnętrzu Explorera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1630C1BC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6784F461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Standardowym wyposażeniem są odważnie zaprojektowane, 20–calowe obręcze kół z lekkich stopów, z wykończeniem w kolorze czarnym dla wersji ST-Line i z ciemnym matowym wykończeniem w wersji Platinum.</w:t>
      </w:r>
    </w:p>
    <w:p w14:paraId="72A01815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02C8DE96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Wersja ST-Line otrzymała też jednoczęściowy przedni wlot powietrza w wykończeniu na wysoki połysk i relingi dachowe oraz okładziny drzwi w błyszczącej czerni. We </w:t>
      </w:r>
      <w:proofErr w:type="gramStart"/>
      <w:r>
        <w:rPr>
          <w:rFonts w:ascii="Arial" w:hAnsi="Arial" w:cs="Arial"/>
          <w:sz w:val="22"/>
          <w:szCs w:val="22"/>
          <w:lang w:val="pl-PL"/>
        </w:rPr>
        <w:t>wnętrzu,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jako podkreślające akcenty zastosowano czerwone szwy tapicerki siedzeń, na dywanikach i na sportowej, spłaszczonej u dołu kierownicy oraz detale z teksturą włókna węglowego na desce rozdzielczej.</w:t>
      </w:r>
    </w:p>
    <w:p w14:paraId="6F0FC4D4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4AFEFCE4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Wersję Platinum wyróżniają: satynowany, jednoczęściowy przedni wlot powietrza oraz satynowane relingi dachowe i okładziny drzwiowe. Wnętrze otrzymało detale deski rozdzielczej, wykonane z drewna.</w:t>
      </w:r>
    </w:p>
    <w:p w14:paraId="33389BC2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1DBC2EA8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Ogromna charyzma i niespotykana prezencja są standardem w naszym najnowszym Explorerze Plug-In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– podkreślił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Matthias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Tonn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– Dzięki umieszczeniu w ofercie wyróżniających się wariantów ST-Line i Platinum, klienci mogą znaleźć samochód odpowiadający ich estetyce i osobowości.</w:t>
      </w:r>
    </w:p>
    <w:p w14:paraId="575699F4" w14:textId="77777777" w:rsidR="0032520D" w:rsidRDefault="0032520D" w:rsidP="0032520D">
      <w:pPr>
        <w:rPr>
          <w:rFonts w:ascii="Arial" w:hAnsi="Arial" w:cs="Arial"/>
          <w:sz w:val="22"/>
          <w:szCs w:val="22"/>
          <w:lang w:val="pl-PL"/>
        </w:rPr>
      </w:pPr>
    </w:p>
    <w:p w14:paraId="305D04F3" w14:textId="77777777" w:rsidR="0032520D" w:rsidRDefault="0032520D" w:rsidP="0032520D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7B93B9E9" w14:textId="77777777" w:rsidR="0032520D" w:rsidRDefault="0032520D" w:rsidP="0032520D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6D502577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1</w:t>
      </w:r>
      <w:r>
        <w:rPr>
          <w:rFonts w:ascii="Arial" w:hAnsi="Arial" w:cs="Arial"/>
          <w:szCs w:val="20"/>
          <w:lang w:val="pl-PL"/>
        </w:rPr>
        <w:t xml:space="preserve"> Deklarowane zużycie paliwa/zużycie energii,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>, ponieważ niektóre elementy testu uległy zmianie. Na przykład ten sam samochód może mieć inne zużycie paliwa i emisję CO2 mierzone według NEDC oraz WLPT.</w:t>
      </w:r>
    </w:p>
    <w:p w14:paraId="36BA2FF5" w14:textId="77777777" w:rsidR="0032520D" w:rsidRDefault="0032520D" w:rsidP="0032520D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1FCE88DF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iCs/>
          <w:szCs w:val="20"/>
          <w:vertAlign w:val="superscript"/>
          <w:lang w:val="pl-PL"/>
        </w:rPr>
        <w:t>2</w:t>
      </w:r>
      <w:r>
        <w:rPr>
          <w:rFonts w:ascii="Arial" w:hAnsi="Arial" w:cs="Arial"/>
          <w:iCs/>
          <w:szCs w:val="20"/>
          <w:lang w:val="pl-PL"/>
        </w:rPr>
        <w:t xml:space="preserve">Systemy asystenckie wspomagania są uzupełnieniem uwagi </w:t>
      </w:r>
      <w:proofErr w:type="gramStart"/>
      <w:r>
        <w:rPr>
          <w:rFonts w:ascii="Arial" w:hAnsi="Arial" w:cs="Arial"/>
          <w:iCs/>
          <w:szCs w:val="20"/>
          <w:lang w:val="pl-PL"/>
        </w:rPr>
        <w:t>kierowcy</w:t>
      </w:r>
      <w:proofErr w:type="gramEnd"/>
      <w:r>
        <w:rPr>
          <w:rFonts w:ascii="Arial" w:hAnsi="Arial" w:cs="Arial"/>
          <w:iCs/>
          <w:szCs w:val="20"/>
          <w:lang w:val="pl-PL"/>
        </w:rPr>
        <w:t xml:space="preserve"> ale nie zastępują oceny sytuacji i konieczności kontrolowania przez niego pojazdu.</w:t>
      </w:r>
    </w:p>
    <w:p w14:paraId="516595B2" w14:textId="77777777" w:rsidR="0032520D" w:rsidRDefault="0032520D" w:rsidP="0032520D">
      <w:pPr>
        <w:rPr>
          <w:rFonts w:ascii="Arial" w:hAnsi="Arial" w:cs="Arial"/>
          <w:iCs/>
          <w:sz w:val="22"/>
          <w:szCs w:val="22"/>
          <w:lang w:val="pl-PL"/>
        </w:rPr>
      </w:pPr>
    </w:p>
    <w:p w14:paraId="412CC0D4" w14:textId="77777777" w:rsidR="0032520D" w:rsidRDefault="0032520D" w:rsidP="0032520D">
      <w:pPr>
        <w:pStyle w:val="CommentText"/>
        <w:rPr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lang w:val="pl-PL"/>
        </w:rPr>
        <w:t xml:space="preserve"> BANG &amp; OLUFSEN™ oraz </w:t>
      </w:r>
      <w:proofErr w:type="spellStart"/>
      <w:r>
        <w:rPr>
          <w:rFonts w:ascii="Arial" w:hAnsi="Arial" w:cs="Arial"/>
          <w:lang w:val="pl-PL"/>
        </w:rPr>
        <w:t>B&amp;O™są</w:t>
      </w:r>
      <w:proofErr w:type="spellEnd"/>
      <w:r>
        <w:rPr>
          <w:rFonts w:ascii="Arial" w:hAnsi="Arial" w:cs="Arial"/>
          <w:lang w:val="pl-PL"/>
        </w:rPr>
        <w:t xml:space="preserve"> zastrzeżonymi znakami towarowymi należącymi do </w:t>
      </w:r>
      <w:proofErr w:type="spellStart"/>
      <w:r>
        <w:rPr>
          <w:rFonts w:ascii="Arial" w:hAnsi="Arial" w:cs="Arial"/>
          <w:lang w:val="pl-PL"/>
        </w:rPr>
        <w:t>Bang</w:t>
      </w:r>
      <w:proofErr w:type="spellEnd"/>
      <w:r>
        <w:rPr>
          <w:rFonts w:ascii="Arial" w:hAnsi="Arial" w:cs="Arial"/>
          <w:lang w:val="pl-PL"/>
        </w:rPr>
        <w:t xml:space="preserve"> &amp; </w:t>
      </w:r>
      <w:proofErr w:type="spellStart"/>
      <w:r>
        <w:rPr>
          <w:rFonts w:ascii="Arial" w:hAnsi="Arial" w:cs="Arial"/>
          <w:lang w:val="pl-PL"/>
        </w:rPr>
        <w:t>Olufsen</w:t>
      </w:r>
      <w:proofErr w:type="spellEnd"/>
      <w:r>
        <w:rPr>
          <w:rFonts w:ascii="Arial" w:hAnsi="Arial" w:cs="Arial"/>
          <w:lang w:val="pl-PL"/>
        </w:rPr>
        <w:t xml:space="preserve"> Group. Na licencji </w:t>
      </w:r>
      <w:proofErr w:type="spellStart"/>
      <w:r>
        <w:rPr>
          <w:rFonts w:ascii="Arial" w:hAnsi="Arial" w:cs="Arial"/>
          <w:lang w:val="pl-PL"/>
        </w:rPr>
        <w:t>Harman</w:t>
      </w:r>
      <w:proofErr w:type="spellEnd"/>
      <w:r>
        <w:rPr>
          <w:rFonts w:ascii="Arial" w:hAnsi="Arial" w:cs="Arial"/>
          <w:lang w:val="pl-PL"/>
        </w:rPr>
        <w:t xml:space="preserve"> Becker Automotive Systems Manufacturing </w:t>
      </w:r>
      <w:proofErr w:type="spellStart"/>
      <w:r>
        <w:rPr>
          <w:rFonts w:ascii="Arial" w:hAnsi="Arial" w:cs="Arial"/>
          <w:lang w:val="pl-PL"/>
        </w:rPr>
        <w:t>Kft</w:t>
      </w:r>
      <w:proofErr w:type="spellEnd"/>
      <w:r>
        <w:rPr>
          <w:rFonts w:ascii="Arial" w:hAnsi="Arial" w:cs="Arial"/>
          <w:lang w:val="pl-PL"/>
        </w:rPr>
        <w:t>. Wszelkie prawa zastrzeżone.</w:t>
      </w:r>
    </w:p>
    <w:p w14:paraId="6CEE65D2" w14:textId="77777777" w:rsidR="0032520D" w:rsidRDefault="0032520D" w:rsidP="0032520D">
      <w:pPr>
        <w:rPr>
          <w:rFonts w:ascii="Arial" w:eastAsia="Arial" w:hAnsi="Arial" w:cs="Arial"/>
          <w:sz w:val="22"/>
          <w:szCs w:val="22"/>
          <w:vertAlign w:val="superscript"/>
          <w:lang w:val="pl-PL"/>
        </w:rPr>
      </w:pPr>
    </w:p>
    <w:p w14:paraId="10C51D35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szCs w:val="20"/>
          <w:lang w:val="pl-PL"/>
        </w:rPr>
        <w:t>Systemy mogą wymagać aktywacji</w:t>
      </w:r>
    </w:p>
    <w:p w14:paraId="74FE2DBA" w14:textId="77777777" w:rsidR="0032520D" w:rsidRDefault="0032520D" w:rsidP="0032520D">
      <w:pPr>
        <w:rPr>
          <w:rFonts w:ascii="Arial" w:hAnsi="Arial" w:cs="Arial"/>
          <w:szCs w:val="20"/>
          <w:lang w:val="pl-PL"/>
        </w:rPr>
      </w:pPr>
    </w:p>
    <w:p w14:paraId="562D309B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5</w:t>
      </w:r>
      <w:r>
        <w:rPr>
          <w:rFonts w:ascii="Arial" w:hAnsi="Arial" w:cs="Arial"/>
          <w:szCs w:val="20"/>
          <w:lang w:val="pl-PL"/>
        </w:rPr>
        <w:t>W regionach, w których jest to dozwolone przez prawo.</w:t>
      </w:r>
    </w:p>
    <w:p w14:paraId="1EAE83DA" w14:textId="77777777" w:rsidR="0032520D" w:rsidRDefault="0032520D" w:rsidP="0032520D">
      <w:pPr>
        <w:rPr>
          <w:rFonts w:ascii="Arial" w:hAnsi="Arial" w:cs="Arial"/>
          <w:szCs w:val="20"/>
          <w:lang w:val="pl-PL"/>
        </w:rPr>
      </w:pPr>
    </w:p>
    <w:p w14:paraId="2804F7FF" w14:textId="77777777" w:rsidR="0032520D" w:rsidRDefault="0032520D" w:rsidP="0032520D">
      <w:pPr>
        <w:rPr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 xml:space="preserve">6 </w:t>
      </w:r>
      <w:r>
        <w:rPr>
          <w:rFonts w:ascii="Arial" w:hAnsi="Arial" w:cs="Arial"/>
          <w:szCs w:val="20"/>
          <w:lang w:val="pl-PL"/>
        </w:rPr>
        <w:t>Nie prowadź samochodu, gdy jesteś zdekoncentrowany. W miarę możliwości korzystaj z systemów sterowania głosem; bez nich nie korzystaj z urządzeń mobilnych podczas jazdy. Niektóre systemy mogą nie być dostępne, kiedy pojazd znajduje się w ruchu. Nie wszystkie systemy są kompatybilne ze wszystkimi telefonami</w:t>
      </w:r>
    </w:p>
    <w:p w14:paraId="61AAB525" w14:textId="77777777" w:rsidR="0032520D" w:rsidRDefault="0032520D" w:rsidP="0032520D">
      <w:pPr>
        <w:pStyle w:val="CommentText"/>
        <w:rPr>
          <w:rFonts w:ascii="Arial" w:hAnsi="Arial" w:cs="Arial"/>
          <w:lang w:val="pl-PL"/>
        </w:rPr>
      </w:pPr>
    </w:p>
    <w:p w14:paraId="6CF43F87" w14:textId="77777777" w:rsidR="0032520D" w:rsidRDefault="0032520D" w:rsidP="0032520D">
      <w:pPr>
        <w:rPr>
          <w:rFonts w:ascii="Arial" w:eastAsia="Arial" w:hAnsi="Arial" w:cs="Arial"/>
          <w:szCs w:val="20"/>
          <w:lang w:val="pl-PL"/>
        </w:rPr>
      </w:pPr>
    </w:p>
    <w:p w14:paraId="71361E3E" w14:textId="77777777" w:rsidR="0032520D" w:rsidRDefault="0032520D" w:rsidP="0032520D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443328A2" w14:textId="77777777" w:rsidR="0032520D" w:rsidRPr="0032520D" w:rsidRDefault="0032520D" w:rsidP="0032520D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79AAAF48" w14:textId="77777777" w:rsidR="0032520D" w:rsidRDefault="0032520D" w:rsidP="0032520D">
      <w:pPr>
        <w:rPr>
          <w:rFonts w:ascii="Arial" w:hAnsi="Arial" w:cs="Arial"/>
          <w:i/>
          <w:iCs/>
          <w:color w:val="1F497D"/>
          <w:szCs w:val="20"/>
          <w:lang w:val="pl-PL"/>
        </w:rPr>
      </w:pPr>
    </w:p>
    <w:p w14:paraId="24135498" w14:textId="77777777" w:rsidR="0032520D" w:rsidRDefault="0032520D" w:rsidP="0032520D">
      <w:pPr>
        <w:rPr>
          <w:rFonts w:ascii="Arial" w:hAnsi="Arial" w:cs="Arial"/>
          <w:color w:val="00000A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bookmarkEnd w:id="0"/>
    <w:p w14:paraId="14A11361" w14:textId="77777777" w:rsidR="0032520D" w:rsidRDefault="0032520D" w:rsidP="0032520D">
      <w:pPr>
        <w:jc w:val="center"/>
        <w:rPr>
          <w:rFonts w:ascii="Arial" w:hAnsi="Arial" w:cs="Arial"/>
          <w:sz w:val="22"/>
          <w:szCs w:val="22"/>
          <w:lang w:val="pl-PL"/>
        </w:rPr>
      </w:pPr>
    </w:p>
    <w:sectPr w:rsidR="0032520D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D9B8" w14:textId="77777777" w:rsidR="00C50932" w:rsidRDefault="00C50932">
      <w:r>
        <w:separator/>
      </w:r>
    </w:p>
  </w:endnote>
  <w:endnote w:type="continuationSeparator" w:id="0">
    <w:p w14:paraId="3F25C749" w14:textId="77777777" w:rsidR="00C50932" w:rsidRDefault="00C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807215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C50932">
      <w:fldChar w:fldCharType="begin"/>
    </w:r>
    <w:r w:rsidR="00C50932" w:rsidRPr="00807215">
      <w:rPr>
        <w:lang w:val="pl-PL"/>
      </w:rPr>
      <w:instrText xml:space="preserve"> HYPERLINK "http://www.twitter.com/FordEu" \h </w:instrText>
    </w:r>
    <w:r w:rsidR="00C50932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C50932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055BC" w14:textId="77777777" w:rsidR="00C50932" w:rsidRDefault="00C50932">
      <w:r>
        <w:separator/>
      </w:r>
    </w:p>
  </w:footnote>
  <w:footnote w:type="continuationSeparator" w:id="0">
    <w:p w14:paraId="12A379D6" w14:textId="77777777" w:rsidR="00C50932" w:rsidRDefault="00C5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60556"/>
    <w:multiLevelType w:val="multilevel"/>
    <w:tmpl w:val="A888E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373E9"/>
    <w:multiLevelType w:val="multilevel"/>
    <w:tmpl w:val="FB2215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F4DC4"/>
    <w:multiLevelType w:val="multilevel"/>
    <w:tmpl w:val="2200AC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E4929"/>
    <w:multiLevelType w:val="multilevel"/>
    <w:tmpl w:val="C1FC8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9077F"/>
    <w:multiLevelType w:val="multilevel"/>
    <w:tmpl w:val="922E6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2E1629"/>
    <w:multiLevelType w:val="multilevel"/>
    <w:tmpl w:val="D4C41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711811"/>
    <w:multiLevelType w:val="multilevel"/>
    <w:tmpl w:val="13B46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A431C8"/>
    <w:multiLevelType w:val="multilevel"/>
    <w:tmpl w:val="F3E8A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C36E52"/>
    <w:multiLevelType w:val="hybridMultilevel"/>
    <w:tmpl w:val="0916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50D6F2D"/>
    <w:multiLevelType w:val="multilevel"/>
    <w:tmpl w:val="CCA80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27263B1"/>
    <w:multiLevelType w:val="multilevel"/>
    <w:tmpl w:val="B47C8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22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7F62A7"/>
    <w:multiLevelType w:val="multilevel"/>
    <w:tmpl w:val="F89E6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DB1CB1"/>
    <w:multiLevelType w:val="multilevel"/>
    <w:tmpl w:val="D0DC2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1766E75"/>
    <w:multiLevelType w:val="multilevel"/>
    <w:tmpl w:val="9AE0F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FFF0127"/>
    <w:multiLevelType w:val="multilevel"/>
    <w:tmpl w:val="E58CCF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1734E06"/>
    <w:multiLevelType w:val="multilevel"/>
    <w:tmpl w:val="EE0AB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1C667A"/>
    <w:multiLevelType w:val="multilevel"/>
    <w:tmpl w:val="3EB895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9"/>
  </w:num>
  <w:num w:numId="12">
    <w:abstractNumId w:val="32"/>
  </w:num>
  <w:num w:numId="13">
    <w:abstractNumId w:val="23"/>
  </w:num>
  <w:num w:numId="14">
    <w:abstractNumId w:val="3"/>
  </w:num>
  <w:num w:numId="15">
    <w:abstractNumId w:val="38"/>
  </w:num>
  <w:num w:numId="16">
    <w:abstractNumId w:val="9"/>
  </w:num>
  <w:num w:numId="17">
    <w:abstractNumId w:val="6"/>
  </w:num>
  <w:num w:numId="18">
    <w:abstractNumId w:val="12"/>
  </w:num>
  <w:num w:numId="19">
    <w:abstractNumId w:val="34"/>
  </w:num>
  <w:num w:numId="20">
    <w:abstractNumId w:val="37"/>
  </w:num>
  <w:num w:numId="21">
    <w:abstractNumId w:val="18"/>
  </w:num>
  <w:num w:numId="22">
    <w:abstractNumId w:val="22"/>
  </w:num>
  <w:num w:numId="23">
    <w:abstractNumId w:val="13"/>
  </w:num>
  <w:num w:numId="24">
    <w:abstractNumId w:val="8"/>
  </w:num>
  <w:num w:numId="25">
    <w:abstractNumId w:val="7"/>
  </w:num>
  <w:num w:numId="26">
    <w:abstractNumId w:val="24"/>
  </w:num>
  <w:num w:numId="27">
    <w:abstractNumId w:val="25"/>
  </w:num>
  <w:num w:numId="28">
    <w:abstractNumId w:val="26"/>
  </w:num>
  <w:num w:numId="29">
    <w:abstractNumId w:val="11"/>
  </w:num>
  <w:num w:numId="30">
    <w:abstractNumId w:val="14"/>
  </w:num>
  <w:num w:numId="31">
    <w:abstractNumId w:val="5"/>
  </w:num>
  <w:num w:numId="32">
    <w:abstractNumId w:val="19"/>
  </w:num>
  <w:num w:numId="33">
    <w:abstractNumId w:val="1"/>
  </w:num>
  <w:num w:numId="34">
    <w:abstractNumId w:val="2"/>
  </w:num>
  <w:num w:numId="35">
    <w:abstractNumId w:val="17"/>
  </w:num>
  <w:num w:numId="36">
    <w:abstractNumId w:val="31"/>
  </w:num>
  <w:num w:numId="37">
    <w:abstractNumId w:val="4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720E"/>
    <w:rsid w:val="00070998"/>
    <w:rsid w:val="0008239F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72F7B"/>
    <w:rsid w:val="00193F53"/>
    <w:rsid w:val="001976D1"/>
    <w:rsid w:val="001A5A05"/>
    <w:rsid w:val="001B460C"/>
    <w:rsid w:val="001C1A6C"/>
    <w:rsid w:val="001C510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2520D"/>
    <w:rsid w:val="00334066"/>
    <w:rsid w:val="00342ECF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5BFB"/>
    <w:rsid w:val="004863C8"/>
    <w:rsid w:val="004A62C9"/>
    <w:rsid w:val="004B1B2F"/>
    <w:rsid w:val="004D477B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5F4988"/>
    <w:rsid w:val="005F72B2"/>
    <w:rsid w:val="006036A3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6F70B4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D3C05"/>
    <w:rsid w:val="007E6E43"/>
    <w:rsid w:val="007F0BD4"/>
    <w:rsid w:val="00801723"/>
    <w:rsid w:val="00802294"/>
    <w:rsid w:val="00802725"/>
    <w:rsid w:val="00807215"/>
    <w:rsid w:val="008101F2"/>
    <w:rsid w:val="00812858"/>
    <w:rsid w:val="00822CDF"/>
    <w:rsid w:val="008442F5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4549D"/>
    <w:rsid w:val="00946702"/>
    <w:rsid w:val="009547D1"/>
    <w:rsid w:val="009559A8"/>
    <w:rsid w:val="0097339D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720DE"/>
    <w:rsid w:val="00A92E41"/>
    <w:rsid w:val="00A9318E"/>
    <w:rsid w:val="00AD5814"/>
    <w:rsid w:val="00AF67EE"/>
    <w:rsid w:val="00B01153"/>
    <w:rsid w:val="00B45F5A"/>
    <w:rsid w:val="00B47DA4"/>
    <w:rsid w:val="00B70797"/>
    <w:rsid w:val="00B71190"/>
    <w:rsid w:val="00B73082"/>
    <w:rsid w:val="00B80111"/>
    <w:rsid w:val="00B83E04"/>
    <w:rsid w:val="00B924C6"/>
    <w:rsid w:val="00BC3E1A"/>
    <w:rsid w:val="00BD3B51"/>
    <w:rsid w:val="00BE22B5"/>
    <w:rsid w:val="00BE78D5"/>
    <w:rsid w:val="00BE7C5B"/>
    <w:rsid w:val="00BE7F5D"/>
    <w:rsid w:val="00BF47AE"/>
    <w:rsid w:val="00BF7D7C"/>
    <w:rsid w:val="00C2293F"/>
    <w:rsid w:val="00C33579"/>
    <w:rsid w:val="00C33FB9"/>
    <w:rsid w:val="00C42E20"/>
    <w:rsid w:val="00C50932"/>
    <w:rsid w:val="00C514E2"/>
    <w:rsid w:val="00C559C3"/>
    <w:rsid w:val="00C60AB0"/>
    <w:rsid w:val="00C82DBA"/>
    <w:rsid w:val="00C95A33"/>
    <w:rsid w:val="00C95CE1"/>
    <w:rsid w:val="00C97B1F"/>
    <w:rsid w:val="00CC1618"/>
    <w:rsid w:val="00CC7C00"/>
    <w:rsid w:val="00CD1523"/>
    <w:rsid w:val="00CE4EA8"/>
    <w:rsid w:val="00D3413B"/>
    <w:rsid w:val="00D368C2"/>
    <w:rsid w:val="00D53480"/>
    <w:rsid w:val="00D751BF"/>
    <w:rsid w:val="00D76949"/>
    <w:rsid w:val="00D77FAD"/>
    <w:rsid w:val="00D97BC8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F5FB5"/>
    <w:rsid w:val="00F0045A"/>
    <w:rsid w:val="00F034F3"/>
    <w:rsid w:val="00F17586"/>
    <w:rsid w:val="00F814A5"/>
    <w:rsid w:val="00F82990"/>
    <w:rsid w:val="00F926BA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6493-297A-4DF0-AD37-A40FEAC4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3</cp:revision>
  <dcterms:created xsi:type="dcterms:W3CDTF">2020-08-26T09:36:00Z</dcterms:created>
  <dcterms:modified xsi:type="dcterms:W3CDTF">2020-08-31T08:31:00Z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