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782D1" w14:textId="70B49EA1" w:rsidR="00FD0750" w:rsidRDefault="00FD0750" w:rsidP="00FD0750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Ford wprowadza nowe </w:t>
      </w:r>
      <w:bookmarkStart w:id="1" w:name="_GoBack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przegrody ochronne dla użytkowników Transita i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Tourneo</w:t>
      </w:r>
      <w:bookmarkEnd w:id="1"/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>, dbających o zachowanie bezpiecznego dystansu społecznego w kabinie</w:t>
      </w:r>
      <w:r>
        <w:rPr>
          <w:rFonts w:ascii="Arial" w:hAnsi="Arial" w:cs="Arial"/>
          <w:b/>
          <w:bCs/>
          <w:sz w:val="32"/>
          <w:szCs w:val="32"/>
          <w:lang w:val="pl-PL"/>
        </w:rPr>
        <w:t>.</w:t>
      </w:r>
    </w:p>
    <w:p w14:paraId="5D323B5B" w14:textId="77777777" w:rsidR="00FD0750" w:rsidRDefault="00FD0750" w:rsidP="00FD0750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6B1BEB12" w14:textId="5C36850A" w:rsidR="00FD0750" w:rsidRDefault="00FD0750" w:rsidP="00FD0750">
      <w:pPr>
        <w:numPr>
          <w:ilvl w:val="0"/>
          <w:numId w:val="36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dodaje do oficjalnej oferty akcesoriów nowe antywirusowe przegrody ochronne, zaprojektowane jako bariera oddzielająca pasażerów, która może pomóc firmom w przestrzeganiu zaleceń dystansu społecznego</w:t>
      </w:r>
      <w:r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91609A7" w14:textId="77777777" w:rsidR="00FD0750" w:rsidRDefault="00FD0750" w:rsidP="00FD0750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4D7D05BD" w14:textId="4B7DC935" w:rsidR="00FD0750" w:rsidRDefault="00FD0750" w:rsidP="00FD0750">
      <w:pPr>
        <w:numPr>
          <w:ilvl w:val="0"/>
          <w:numId w:val="36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Dyskretne bariery ochronne do samochodów dostawczych Transit i mikrobusów Transit/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są</w:t>
      </w:r>
      <w:r>
        <w:rPr>
          <w:rFonts w:ascii="Arial" w:hAnsi="Arial" w:cs="Arial"/>
          <w:sz w:val="22"/>
          <w:szCs w:val="22"/>
          <w:lang w:val="pl-PL"/>
        </w:rPr>
        <w:t xml:space="preserve"> dostępne u d</w:t>
      </w:r>
      <w:r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>lerów Forda; dla Transita/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Couriera i Connect pojawią się w następnej kolejności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5051F4BB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7326984D" w14:textId="17F1C76D" w:rsidR="00FD0750" w:rsidRDefault="00FD0750" w:rsidP="00FD0750">
      <w:pPr>
        <w:numPr>
          <w:ilvl w:val="0"/>
          <w:numId w:val="36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Regulowane przegrody opracowane z myślą o operatorach flot działających w transporcie publicznym, transporcie szkolnym i prywatnym wynajmie, są w pełni kompatybilne z systemami bezpieczeństwa, m.in. z poduszkami powietrznymi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AADB12B" w14:textId="77777777" w:rsidR="00FD0750" w:rsidRDefault="00FD0750" w:rsidP="00FD0750">
      <w:pPr>
        <w:rPr>
          <w:lang w:val="pl-PL"/>
        </w:rPr>
      </w:pPr>
    </w:p>
    <w:p w14:paraId="18C05607" w14:textId="40CB6098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>
        <w:rPr>
          <w:rFonts w:ascii="Arial" w:hAnsi="Arial" w:cs="Arial"/>
          <w:b/>
          <w:sz w:val="22"/>
          <w:szCs w:val="22"/>
          <w:lang w:val="pl-PL"/>
        </w:rPr>
        <w:t>, 1</w:t>
      </w:r>
      <w:r>
        <w:rPr>
          <w:rFonts w:ascii="Arial" w:hAnsi="Arial" w:cs="Arial"/>
          <w:b/>
          <w:sz w:val="22"/>
          <w:szCs w:val="22"/>
          <w:lang w:val="pl-PL"/>
        </w:rPr>
        <w:t>0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sierpni</w:t>
      </w:r>
      <w:r>
        <w:rPr>
          <w:rFonts w:ascii="Arial" w:hAnsi="Arial" w:cs="Arial"/>
          <w:b/>
          <w:sz w:val="22"/>
          <w:szCs w:val="22"/>
          <w:lang w:val="pl-PL"/>
        </w:rPr>
        <w:t>a 2020 r</w:t>
      </w:r>
      <w:r>
        <w:rPr>
          <w:rFonts w:ascii="Arial" w:hAnsi="Arial" w:cs="Arial"/>
          <w:b/>
          <w:sz w:val="22"/>
          <w:szCs w:val="22"/>
          <w:lang w:val="pl-PL"/>
        </w:rPr>
        <w:t>oku</w:t>
      </w:r>
      <w:r>
        <w:rPr>
          <w:rFonts w:ascii="Arial" w:hAnsi="Arial" w:cs="Arial"/>
          <w:sz w:val="22"/>
          <w:szCs w:val="22"/>
          <w:lang w:val="pl-PL"/>
        </w:rPr>
        <w:t xml:space="preserve"> - Ford zaprezentował serię przegród ochronnych, które można szybko i łatwo zamontować w gamie pojazdów użytkowych firmy. Bariery zaprojektowano z myślą o operatorach flot dbających o zachowanie bezpiecznego dystansu społecznego i zapewnić dodatkowy spokój ducha pasażerom.</w:t>
      </w:r>
    </w:p>
    <w:p w14:paraId="25B11074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14D0F7AD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Przegrody, stworzone z myślą o transporcie publicznym, m.in. autobusach szkolnych, transporcie pacjentów, usługach taksówkowych i transporcie niepełnosprawnych, mają na celu uzupełnienie stosowanych już środków ochrony osobistej i zaleceń dotyczących zachowania bezpieczeństwa. Mogą być instalowane w różnych konfiguracjach, dostosowanych do indywidualnych potrzeb. </w:t>
      </w:r>
    </w:p>
    <w:p w14:paraId="2FBA70E7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1E8A2B95" w14:textId="6F56622E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Przegrody, które przeszły rygorystyczne testy bezpieczeństwa, jakości i trwałości Forda, będzie można zamawiać z oficjalnej listy akcesoriów marki, za pośrednictwem d</w:t>
      </w:r>
      <w:r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 xml:space="preserve">lerów Forda, a także w wybranych krajach za pośrednictwem sklepu internetowego </w:t>
      </w:r>
      <w:proofErr w:type="gramStart"/>
      <w:r>
        <w:rPr>
          <w:rFonts w:ascii="Arial" w:hAnsi="Arial" w:cs="Arial"/>
          <w:sz w:val="22"/>
          <w:szCs w:val="22"/>
          <w:lang w:val="pl-PL"/>
        </w:rPr>
        <w:t>Ford .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5B6A88E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3B6D169E" w14:textId="1E57FDD1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Użytkownicy pojazdów dostawczych oraz busów stanęli w obliczu bezprecedensowych wyzwań w 2020 r. i dostosowują się do nowych norm, świadcząc kluczowe usługi społecznościom i gospodarce – powiedział Owen Gregory, dyrektor obsługi posprzedażnej pojazdów użytkowych w Ford of Europe. – Nowe przegrody ochronne pomagają naszym klientom, pracującym w trudnych warunkach, zapewnić kierowcom i pasażerom dodatkowy spokój podczas pracy i podróży.</w:t>
      </w:r>
    </w:p>
    <w:p w14:paraId="63098CBA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0068B9E7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Nieprzepuszczalne przegrody wyposażone w poręczne paski montażowe wykonane są z przezroczystego polichlorku winylu (PCW) i mogą być dezynfekowane w ramach procedur obowiązujących w firmach. </w:t>
      </w:r>
    </w:p>
    <w:p w14:paraId="4CB08FD6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2C8AD212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 wewnętrznej płaszczyzny szyby mocowane są zdejmowane, dyskretne przyssawki, a do nich paski, które również można przymocować do stałych elementów w kabinie. Klienci mogą w </w:t>
      </w:r>
      <w:r>
        <w:rPr>
          <w:rFonts w:ascii="Arial" w:hAnsi="Arial" w:cs="Arial"/>
          <w:sz w:val="22"/>
          <w:szCs w:val="22"/>
          <w:lang w:val="pl-PL"/>
        </w:rPr>
        <w:lastRenderedPageBreak/>
        <w:t>prosty sposób, szybko montować, regulować i zdemontować przegrody, bez konieczności modyfikacji wnętrza, a po zdjęciu spakować je w płaski, łatwy do przechowywania pakiet.</w:t>
      </w:r>
    </w:p>
    <w:p w14:paraId="64A9CFC8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6195244A" w14:textId="30B0F705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 zainstalowaniu przegrody nie ograniczają wygody pasażerów, przestrzeni wewnętrznej ani działania systemów ogrzewania i wentylacji. Przezroczyste tworzywo nie ogranicza także pola widzenia kierowcy, który zachowuje kontrolę otoczenia przez tylną szybę, boczne szyby i lusterka zewnętrzne, a pasażerowie nadal mogą się słyszeć i widzieć. </w:t>
      </w:r>
    </w:p>
    <w:p w14:paraId="319E15A8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18B1A1A7" w14:textId="10014838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Przegrody można zamontować w czterech różnych konfiguracjach, oddzielając w kabinie przód od tyłu i lewą stronę od prawej, zależnie od potrzeb każdego użytkownika. Sposoby montażu:</w:t>
      </w:r>
    </w:p>
    <w:p w14:paraId="1C3C582C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7193526A" w14:textId="33532139" w:rsidR="00FD0750" w:rsidRDefault="00FD0750" w:rsidP="00FD0750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Między fotelami kierowcy i pasażera z przodu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14:paraId="172E5C9B" w14:textId="77777777" w:rsidR="00FD0750" w:rsidRDefault="00FD0750" w:rsidP="00FD0750">
      <w:pPr>
        <w:pStyle w:val="ListParagraph"/>
        <w:ind w:left="1080"/>
        <w:rPr>
          <w:rFonts w:ascii="Arial" w:hAnsi="Arial" w:cs="Arial"/>
          <w:sz w:val="22"/>
          <w:szCs w:val="22"/>
          <w:lang w:val="pl-PL"/>
        </w:rPr>
      </w:pPr>
    </w:p>
    <w:p w14:paraId="3BCDA90A" w14:textId="5C903303" w:rsidR="00FD0750" w:rsidRDefault="00FD0750" w:rsidP="00FD0750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 przednimi siedzeniami, które można oddzielić od reszty kabiny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14:paraId="2301D5F4" w14:textId="77777777" w:rsidR="00FD0750" w:rsidRP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5BDABA46" w14:textId="1C1FBF18" w:rsidR="00FD0750" w:rsidRDefault="00FD0750" w:rsidP="00FD0750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Między kierowcą a pasażerem z przodu i za przednimi fotelami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14:paraId="08F2CA3F" w14:textId="77777777" w:rsidR="00FD0750" w:rsidRP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712900DE" w14:textId="590F2EA1" w:rsidR="00FD0750" w:rsidRDefault="00FD0750" w:rsidP="00FD0750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Między kierowcą i pasażerem z przodu, za pierwszym rzędem oraz między siedzeniami drugiego rzędu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4D134500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774AF0AE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Przegrody i punkty montażowe zostały starannie zaprojektowane, aby zapewnić bezpieczeństwo pasażerom. Zadbano, aby lekkie, elastyczne materiały z bezpiecznymi mocowaniami nie spowodowały obrażeń w razie wypadku, a punkty mocowania i pozycje paska nie ograniczają właściwego działania bocznych i kurtynowych poduszek powietrznych.</w:t>
      </w:r>
    </w:p>
    <w:p w14:paraId="110041B1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51E4EE27" w14:textId="77777777" w:rsidR="00FD0750" w:rsidRDefault="00FD0750" w:rsidP="00FD0750">
      <w:pPr>
        <w:shd w:val="clear" w:color="auto" w:fill="FFFFFF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ofercie jako pierwsze znajdą się przegrody dla dostawczych Transitów i minibusów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>, przegrody dla Transita/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 i Transita/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Courier pojawią się pod koniec roku. Oferta akcesoriów Forda obejmuje szereg poręcznych akcesoriów do przechowywania, elementów podnoszących bezpieczeństwo i ochronę pojazdu, posiadających gwarancję Forda, dzięki czemu każdy klient może wyposażyć pojazd zgodnie z konkretnymi potrzebami.</w:t>
      </w:r>
    </w:p>
    <w:p w14:paraId="5691399D" w14:textId="77777777" w:rsidR="00FD0750" w:rsidRDefault="00FD0750" w:rsidP="00FD0750">
      <w:pPr>
        <w:shd w:val="clear" w:color="auto" w:fill="FFFFFF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1C5C2802" w14:textId="042D4D54" w:rsidR="00FD0750" w:rsidRDefault="00FD0750" w:rsidP="00FD0750">
      <w:pPr>
        <w:shd w:val="clear" w:color="auto" w:fill="FFFFFF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Ponadto Ford testuje zaawansowane rozwiązania dzielące wnętrze kabiny, które mogłyby również zwiększyć oszczędność paliwa i energii pojazdów w przyszłości. Firma niedawno opatentowała system, dzięki któremu mona wdrażać zautomatyzowane, odkształcalne ściany kabin w wielu konfiguracjach, co pozwoli kontrolować temperaturę wnętrza w wypadku samochodów użytkowanych w niesprzyjających warunkach klimatycznych i ograniczy utratę energii.</w:t>
      </w:r>
    </w:p>
    <w:p w14:paraId="58FC39C6" w14:textId="77777777" w:rsidR="00FD0750" w:rsidRDefault="00FD0750" w:rsidP="00FD0750">
      <w:pPr>
        <w:shd w:val="clear" w:color="auto" w:fill="FFFFFF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1677A4C1" w14:textId="77777777" w:rsidR="00FD0750" w:rsidRDefault="00FD0750" w:rsidP="00FD0750">
      <w:pPr>
        <w:rPr>
          <w:rFonts w:ascii="Arial" w:hAnsi="Arial" w:cs="Arial"/>
          <w:sz w:val="22"/>
          <w:szCs w:val="22"/>
          <w:lang w:val="pl-PL"/>
        </w:rPr>
      </w:pPr>
    </w:p>
    <w:p w14:paraId="06F8334B" w14:textId="77777777" w:rsidR="00FD0750" w:rsidRDefault="00FD0750" w:rsidP="00FD0750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7AD47A0B" w14:textId="367CA923" w:rsidR="00FD0750" w:rsidRDefault="00FD0750" w:rsidP="00FD0750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6771649A" w14:textId="77777777" w:rsidR="00FD0750" w:rsidRDefault="00FD0750" w:rsidP="00FD0750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445AE1DF" w14:textId="77777777" w:rsidR="00FD0750" w:rsidRDefault="00FD0750" w:rsidP="00FD0750">
      <w:pPr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Warianty ustawienia przegród ochronnych, lipiec 2020 r</w:t>
      </w:r>
    </w:p>
    <w:p w14:paraId="6D97F4D0" w14:textId="77777777" w:rsidR="00FD0750" w:rsidRDefault="00FD0750" w:rsidP="00FD0750">
      <w:pPr>
        <w:jc w:val="center"/>
        <w:rPr>
          <w:rFonts w:ascii="Arial" w:hAnsi="Arial" w:cs="Arial"/>
          <w:szCs w:val="20"/>
          <w:lang w:val="pl-P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1276"/>
        <w:gridCol w:w="1277"/>
        <w:gridCol w:w="1274"/>
        <w:gridCol w:w="1134"/>
        <w:gridCol w:w="1276"/>
        <w:gridCol w:w="1276"/>
      </w:tblGrid>
      <w:tr w:rsidR="00FD0750" w:rsidRPr="00751476" w14:paraId="603FF09C" w14:textId="77777777" w:rsidTr="00E658A4">
        <w:tc>
          <w:tcPr>
            <w:tcW w:w="1837" w:type="dxa"/>
            <w:shd w:val="clear" w:color="auto" w:fill="auto"/>
            <w:tcMar>
              <w:left w:w="108" w:type="dxa"/>
            </w:tcMar>
          </w:tcPr>
          <w:p w14:paraId="7997B05E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4B55FA10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Tourneo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l-PL"/>
              </w:rPr>
              <w:t>Custom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14:paraId="3C6711A7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Transit </w:t>
            </w:r>
            <w:proofErr w:type="spellStart"/>
            <w:r>
              <w:rPr>
                <w:rFonts w:ascii="Arial" w:hAnsi="Arial" w:cs="Arial"/>
                <w:lang w:val="pl-PL"/>
              </w:rPr>
              <w:t>Custom</w:t>
            </w:r>
            <w:proofErr w:type="spellEnd"/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14:paraId="591D0557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Transit (M1/M2)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4962B3FF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Transit furgon (N1)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6AA00BDC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Transit kabina, bliźniacze koła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18F3E90A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Transit furgon z podwójną kabiną</w:t>
            </w:r>
          </w:p>
        </w:tc>
      </w:tr>
      <w:tr w:rsidR="00FD0750" w14:paraId="582C3367" w14:textId="77777777" w:rsidTr="00E658A4">
        <w:trPr>
          <w:trHeight w:val="690"/>
        </w:trPr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14:paraId="0FFE718F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Za plecami kierowcy i przedniego pasażera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F57291B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DD0C674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0D5A1B39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54D30D55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FB3557D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DE36D8E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8EED5EC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D91A9CE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FD0750" w14:paraId="3CA54E0D" w14:textId="77777777" w:rsidTr="00E658A4">
        <w:trPr>
          <w:trHeight w:val="726"/>
        </w:trPr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14:paraId="32BCE217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Między kierowcą i pasażerem z przodu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33A66DF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42893CAC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5E96D26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070D1C68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D076DD7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10DA374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3446485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1D111D1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FD0750" w14:paraId="72099B48" w14:textId="77777777" w:rsidTr="00E658A4">
        <w:trPr>
          <w:trHeight w:val="708"/>
        </w:trPr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14:paraId="2CB01B5F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Między kierowcą a pasażerem z przodu i za przednimi fotelami 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B16CC65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4AC4A6F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50B05505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17BA92B6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B9B0730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56FA9AF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7CD721F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F9FD70B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FD0750" w14:paraId="4E271B76" w14:textId="77777777" w:rsidTr="00E658A4"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14:paraId="759714A3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Między kierowcą i pasażerem z przodu, za pierwszym rzędem oraz między siedzeniami drugiego rzędu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FFF983E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4B805312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14FFBD7F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2157074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B87D845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580CFDF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9B35AC7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0AE6A0B" w14:textId="77777777" w:rsidR="00FD0750" w:rsidRDefault="00FD0750" w:rsidP="00E658A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X</w:t>
            </w:r>
          </w:p>
        </w:tc>
      </w:tr>
    </w:tbl>
    <w:p w14:paraId="4D55542F" w14:textId="77777777" w:rsidR="00FD0750" w:rsidRDefault="00FD0750" w:rsidP="00FD0750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504314FB" w14:textId="77777777" w:rsidR="00FD0750" w:rsidRDefault="00FD0750" w:rsidP="00FD0750">
      <w:pPr>
        <w:rPr>
          <w:rFonts w:ascii="Arial" w:hAnsi="Arial" w:cs="Arial"/>
          <w:b/>
          <w:bCs/>
          <w:i/>
          <w:lang w:val="pl-PL"/>
        </w:rPr>
      </w:pPr>
    </w:p>
    <w:p w14:paraId="72FF89E1" w14:textId="091E767F" w:rsidR="00FD0750" w:rsidRDefault="00FD0750" w:rsidP="00FD0750">
      <w:pPr>
        <w:jc w:val="center"/>
        <w:rPr>
          <w:rFonts w:ascii="Arial" w:hAnsi="Arial" w:cs="Arial"/>
          <w:b/>
          <w:bCs/>
          <w:i/>
          <w:lang w:val="pl-PL"/>
        </w:rPr>
      </w:pPr>
      <w:r w:rsidRPr="00E84632">
        <w:rPr>
          <w:rFonts w:ascii="Arial" w:hAnsi="Arial" w:cs="Arial"/>
          <w:color w:val="333333"/>
          <w:sz w:val="21"/>
          <w:szCs w:val="21"/>
          <w:lang w:val="pl-PL"/>
        </w:rPr>
        <w:t>###</w:t>
      </w:r>
    </w:p>
    <w:p w14:paraId="13ADC037" w14:textId="77777777" w:rsidR="00FD0750" w:rsidRDefault="00FD0750" w:rsidP="00FD0750">
      <w:pPr>
        <w:rPr>
          <w:rFonts w:ascii="Arial" w:hAnsi="Arial" w:cs="Arial"/>
          <w:b/>
          <w:bCs/>
          <w:i/>
          <w:lang w:val="pl-PL"/>
        </w:rPr>
      </w:pPr>
    </w:p>
    <w:p w14:paraId="5D8B7281" w14:textId="50597A18" w:rsidR="00FD0750" w:rsidRDefault="00FD0750" w:rsidP="00FD0750">
      <w:pPr>
        <w:rPr>
          <w:rFonts w:ascii="Arial" w:hAnsi="Arial" w:cs="Arial"/>
          <w:b/>
          <w:bCs/>
          <w:i/>
          <w:szCs w:val="22"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49B49A20" w14:textId="77777777" w:rsidR="00FD0750" w:rsidRPr="00751476" w:rsidRDefault="00FD0750" w:rsidP="00FD0750">
      <w:pPr>
        <w:rPr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 Company na stronie </w:t>
      </w:r>
      <w:hyperlink r:id="rId8">
        <w:r>
          <w:rPr>
            <w:rStyle w:val="czeinternetowe"/>
            <w:rFonts w:ascii="Arial" w:hAnsi="Arial" w:cs="Arial"/>
            <w:i/>
            <w:iCs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color w:val="1F497D"/>
          <w:lang w:val="pl-PL"/>
        </w:rPr>
        <w:t xml:space="preserve">. </w:t>
      </w:r>
    </w:p>
    <w:p w14:paraId="3089A09B" w14:textId="77777777" w:rsidR="00FD0750" w:rsidRDefault="00FD0750" w:rsidP="00FD0750">
      <w:pPr>
        <w:rPr>
          <w:rFonts w:ascii="Arial" w:hAnsi="Arial" w:cs="Arial"/>
          <w:i/>
          <w:iCs/>
          <w:szCs w:val="20"/>
          <w:lang w:val="pl-PL"/>
        </w:rPr>
      </w:pPr>
    </w:p>
    <w:p w14:paraId="2AE33220" w14:textId="77777777" w:rsidR="00FD0750" w:rsidRDefault="00FD0750" w:rsidP="00FD07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20202B" w14:textId="77777777" w:rsidR="00577947" w:rsidRPr="00577947" w:rsidRDefault="00577947" w:rsidP="00577947">
      <w:pPr>
        <w:autoSpaceDE w:val="0"/>
        <w:rPr>
          <w:rFonts w:ascii="Arial" w:hAnsi="Arial" w:cs="Arial"/>
          <w:i/>
          <w:szCs w:val="20"/>
          <w:lang w:val="pl-PL"/>
        </w:rPr>
      </w:pPr>
    </w:p>
    <w:p w14:paraId="20351ABA" w14:textId="23D3571F" w:rsidR="007E6E43" w:rsidRDefault="007E6E43" w:rsidP="007E6E43">
      <w:pPr>
        <w:rPr>
          <w:rFonts w:ascii="Arial" w:hAnsi="Arial" w:cs="Arial"/>
          <w:i/>
          <w:sz w:val="22"/>
          <w:szCs w:val="22"/>
          <w:lang w:val="pl-PL"/>
        </w:rPr>
      </w:pPr>
    </w:p>
    <w:p w14:paraId="7DC21381" w14:textId="77777777" w:rsidR="00801723" w:rsidRDefault="00801723" w:rsidP="007E6E43">
      <w:pPr>
        <w:rPr>
          <w:rFonts w:ascii="Arial" w:hAnsi="Arial" w:cs="Arial"/>
          <w:i/>
          <w:sz w:val="22"/>
          <w:szCs w:val="22"/>
          <w:lang w:val="pl-PL"/>
        </w:rPr>
      </w:pPr>
    </w:p>
    <w:p w14:paraId="1FEE3F75" w14:textId="77777777" w:rsidR="00EC0B39" w:rsidRPr="00E84632" w:rsidRDefault="00EC0B39" w:rsidP="00EC0B39">
      <w:pPr>
        <w:pStyle w:val="NormalWeb"/>
        <w:shd w:val="clear" w:color="auto" w:fill="FFFFFF"/>
        <w:spacing w:before="0" w:after="150"/>
        <w:rPr>
          <w:lang w:val="pl-PL"/>
        </w:rPr>
      </w:pP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  <w:t>###</w:t>
      </w:r>
    </w:p>
    <w:p w14:paraId="120528E0" w14:textId="19733480" w:rsidR="00EC0B39" w:rsidRDefault="00EC0B39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p w14:paraId="73B1D70E" w14:textId="77777777" w:rsidR="00801723" w:rsidRPr="00E84632" w:rsidRDefault="00801723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E84632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FD0750" w14:paraId="64A7CA37" w14:textId="77777777" w:rsidTr="00544E94">
        <w:tc>
          <w:tcPr>
            <w:tcW w:w="1320" w:type="dxa"/>
          </w:tcPr>
          <w:p w14:paraId="10472B5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E84632" w14:paraId="37A5BC18" w14:textId="77777777" w:rsidTr="00544E94">
        <w:tc>
          <w:tcPr>
            <w:tcW w:w="1320" w:type="dxa"/>
          </w:tcPr>
          <w:p w14:paraId="14057999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6C2DBB09" w14:textId="77777777" w:rsidR="007A3385" w:rsidRPr="00354862" w:rsidRDefault="007A3385" w:rsidP="0035486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E84632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16D2BB3" w14:textId="77777777" w:rsidR="0078699F" w:rsidRDefault="0078699F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sectPr w:rsidR="0078699F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BB55" w14:textId="77777777" w:rsidR="00C514E2" w:rsidRDefault="00C514E2">
      <w:r>
        <w:separator/>
      </w:r>
    </w:p>
  </w:endnote>
  <w:endnote w:type="continuationSeparator" w:id="0">
    <w:p w14:paraId="7DF7763B" w14:textId="77777777" w:rsidR="00C514E2" w:rsidRDefault="00C5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FD0750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C514E2">
      <w:fldChar w:fldCharType="begin"/>
    </w:r>
    <w:r w:rsidR="00C514E2" w:rsidRPr="00FD0750">
      <w:rPr>
        <w:lang w:val="pl-PL"/>
      </w:rPr>
      <w:instrText xml:space="preserve"> HYPERLINK "http://www.twitter.com/FordEu" \h </w:instrText>
    </w:r>
    <w:r w:rsidR="00C514E2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C514E2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9C39" w14:textId="77777777" w:rsidR="00C514E2" w:rsidRDefault="00C514E2">
      <w:r>
        <w:separator/>
      </w:r>
    </w:p>
  </w:footnote>
  <w:footnote w:type="continuationSeparator" w:id="0">
    <w:p w14:paraId="7AE0AA09" w14:textId="77777777" w:rsidR="00C514E2" w:rsidRDefault="00C5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7E2"/>
    <w:multiLevelType w:val="multilevel"/>
    <w:tmpl w:val="D39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60556"/>
    <w:multiLevelType w:val="multilevel"/>
    <w:tmpl w:val="A888E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2373E9"/>
    <w:multiLevelType w:val="multilevel"/>
    <w:tmpl w:val="FB2215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5444E"/>
    <w:multiLevelType w:val="multilevel"/>
    <w:tmpl w:val="5510A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7F4DC4"/>
    <w:multiLevelType w:val="multilevel"/>
    <w:tmpl w:val="2200AC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8E4929"/>
    <w:multiLevelType w:val="multilevel"/>
    <w:tmpl w:val="C1FC8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45470D"/>
    <w:multiLevelType w:val="multilevel"/>
    <w:tmpl w:val="FB905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9077F"/>
    <w:multiLevelType w:val="multilevel"/>
    <w:tmpl w:val="922E6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2E1629"/>
    <w:multiLevelType w:val="multilevel"/>
    <w:tmpl w:val="D4C4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8D1EBD"/>
    <w:multiLevelType w:val="multilevel"/>
    <w:tmpl w:val="E3422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711811"/>
    <w:multiLevelType w:val="multilevel"/>
    <w:tmpl w:val="13B46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B03E7D"/>
    <w:multiLevelType w:val="multilevel"/>
    <w:tmpl w:val="08305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A431C8"/>
    <w:multiLevelType w:val="multilevel"/>
    <w:tmpl w:val="F3E8A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C36E52"/>
    <w:multiLevelType w:val="hybridMultilevel"/>
    <w:tmpl w:val="0916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8270F"/>
    <w:multiLevelType w:val="multilevel"/>
    <w:tmpl w:val="251AB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301590E"/>
    <w:multiLevelType w:val="multilevel"/>
    <w:tmpl w:val="78F82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50D6F2D"/>
    <w:multiLevelType w:val="multilevel"/>
    <w:tmpl w:val="CCA80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65941BD"/>
    <w:multiLevelType w:val="multilevel"/>
    <w:tmpl w:val="4D925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27263B1"/>
    <w:multiLevelType w:val="multilevel"/>
    <w:tmpl w:val="B47C8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2811A89"/>
    <w:multiLevelType w:val="multilevel"/>
    <w:tmpl w:val="625C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75D7140"/>
    <w:multiLevelType w:val="multilevel"/>
    <w:tmpl w:val="F87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22" w15:restartNumberingAfterBreak="0">
    <w:nsid w:val="48D311BE"/>
    <w:multiLevelType w:val="multilevel"/>
    <w:tmpl w:val="B208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B3575A0"/>
    <w:multiLevelType w:val="multilevel"/>
    <w:tmpl w:val="8E5CC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7F62A7"/>
    <w:multiLevelType w:val="multilevel"/>
    <w:tmpl w:val="F89E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DB1CB1"/>
    <w:multiLevelType w:val="multilevel"/>
    <w:tmpl w:val="D0DC2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1766E75"/>
    <w:multiLevelType w:val="multilevel"/>
    <w:tmpl w:val="9AE0F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19D4A35"/>
    <w:multiLevelType w:val="multilevel"/>
    <w:tmpl w:val="49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33018C9"/>
    <w:multiLevelType w:val="multilevel"/>
    <w:tmpl w:val="0F78C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BE662C1"/>
    <w:multiLevelType w:val="multilevel"/>
    <w:tmpl w:val="BF40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734E06"/>
    <w:multiLevelType w:val="multilevel"/>
    <w:tmpl w:val="EE0AB3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9708F0"/>
    <w:multiLevelType w:val="multilevel"/>
    <w:tmpl w:val="3872F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4558BC"/>
    <w:multiLevelType w:val="multilevel"/>
    <w:tmpl w:val="BDB69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1DB1F69"/>
    <w:multiLevelType w:val="multilevel"/>
    <w:tmpl w:val="544C6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B74152"/>
    <w:multiLevelType w:val="multilevel"/>
    <w:tmpl w:val="49A8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EF41CC1"/>
    <w:multiLevelType w:val="multilevel"/>
    <w:tmpl w:val="99700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FFD5F52"/>
    <w:multiLevelType w:val="multilevel"/>
    <w:tmpl w:val="34E0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9"/>
  </w:num>
  <w:num w:numId="12">
    <w:abstractNumId w:val="31"/>
  </w:num>
  <w:num w:numId="13">
    <w:abstractNumId w:val="23"/>
  </w:num>
  <w:num w:numId="14">
    <w:abstractNumId w:val="3"/>
  </w:num>
  <w:num w:numId="15">
    <w:abstractNumId w:val="36"/>
  </w:num>
  <w:num w:numId="16">
    <w:abstractNumId w:val="9"/>
  </w:num>
  <w:num w:numId="17">
    <w:abstractNumId w:val="6"/>
  </w:num>
  <w:num w:numId="18">
    <w:abstractNumId w:val="12"/>
  </w:num>
  <w:num w:numId="19">
    <w:abstractNumId w:val="33"/>
  </w:num>
  <w:num w:numId="20">
    <w:abstractNumId w:val="35"/>
  </w:num>
  <w:num w:numId="21">
    <w:abstractNumId w:val="18"/>
  </w:num>
  <w:num w:numId="22">
    <w:abstractNumId w:val="22"/>
  </w:num>
  <w:num w:numId="23">
    <w:abstractNumId w:val="13"/>
  </w:num>
  <w:num w:numId="24">
    <w:abstractNumId w:val="8"/>
  </w:num>
  <w:num w:numId="25">
    <w:abstractNumId w:val="7"/>
  </w:num>
  <w:num w:numId="26">
    <w:abstractNumId w:val="24"/>
  </w:num>
  <w:num w:numId="27">
    <w:abstractNumId w:val="25"/>
  </w:num>
  <w:num w:numId="28">
    <w:abstractNumId w:val="26"/>
  </w:num>
  <w:num w:numId="29">
    <w:abstractNumId w:val="11"/>
  </w:num>
  <w:num w:numId="30">
    <w:abstractNumId w:val="14"/>
  </w:num>
  <w:num w:numId="31">
    <w:abstractNumId w:val="5"/>
  </w:num>
  <w:num w:numId="32">
    <w:abstractNumId w:val="19"/>
  </w:num>
  <w:num w:numId="33">
    <w:abstractNumId w:val="1"/>
  </w:num>
  <w:num w:numId="34">
    <w:abstractNumId w:val="2"/>
  </w:num>
  <w:num w:numId="35">
    <w:abstractNumId w:val="17"/>
  </w:num>
  <w:num w:numId="36">
    <w:abstractNumId w:val="30"/>
  </w:num>
  <w:num w:numId="3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6720E"/>
    <w:rsid w:val="00070998"/>
    <w:rsid w:val="0008239F"/>
    <w:rsid w:val="000A302A"/>
    <w:rsid w:val="000B1463"/>
    <w:rsid w:val="000C5B0E"/>
    <w:rsid w:val="000D0536"/>
    <w:rsid w:val="000D1FDB"/>
    <w:rsid w:val="00104CD7"/>
    <w:rsid w:val="00106BA5"/>
    <w:rsid w:val="0010756F"/>
    <w:rsid w:val="00111E3B"/>
    <w:rsid w:val="00123DA9"/>
    <w:rsid w:val="0013097E"/>
    <w:rsid w:val="00153A6D"/>
    <w:rsid w:val="00172F7B"/>
    <w:rsid w:val="00193F53"/>
    <w:rsid w:val="001976D1"/>
    <w:rsid w:val="001A5A05"/>
    <w:rsid w:val="001B460C"/>
    <w:rsid w:val="001C1A6C"/>
    <w:rsid w:val="001C5108"/>
    <w:rsid w:val="0020173F"/>
    <w:rsid w:val="002160FA"/>
    <w:rsid w:val="00220308"/>
    <w:rsid w:val="00235A84"/>
    <w:rsid w:val="00236E2D"/>
    <w:rsid w:val="00243B0D"/>
    <w:rsid w:val="00243F8B"/>
    <w:rsid w:val="00267340"/>
    <w:rsid w:val="00273A8B"/>
    <w:rsid w:val="002805B1"/>
    <w:rsid w:val="002823D9"/>
    <w:rsid w:val="00291048"/>
    <w:rsid w:val="0029464F"/>
    <w:rsid w:val="002A4EFF"/>
    <w:rsid w:val="002B4EE0"/>
    <w:rsid w:val="002E2656"/>
    <w:rsid w:val="002F5335"/>
    <w:rsid w:val="003064BB"/>
    <w:rsid w:val="0030794E"/>
    <w:rsid w:val="00334066"/>
    <w:rsid w:val="00342ECF"/>
    <w:rsid w:val="00347D78"/>
    <w:rsid w:val="00354862"/>
    <w:rsid w:val="003744AA"/>
    <w:rsid w:val="003906E4"/>
    <w:rsid w:val="003A17FF"/>
    <w:rsid w:val="003A6DCC"/>
    <w:rsid w:val="003C7F75"/>
    <w:rsid w:val="003F30D8"/>
    <w:rsid w:val="003F4449"/>
    <w:rsid w:val="004012C6"/>
    <w:rsid w:val="00414E78"/>
    <w:rsid w:val="00444FC9"/>
    <w:rsid w:val="0046178E"/>
    <w:rsid w:val="004660CF"/>
    <w:rsid w:val="00485BFB"/>
    <w:rsid w:val="004863C8"/>
    <w:rsid w:val="004A62C9"/>
    <w:rsid w:val="004B1B2F"/>
    <w:rsid w:val="004D477B"/>
    <w:rsid w:val="004E6D58"/>
    <w:rsid w:val="00501CC4"/>
    <w:rsid w:val="00522DAE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C1845"/>
    <w:rsid w:val="005D25C5"/>
    <w:rsid w:val="005D63BF"/>
    <w:rsid w:val="005D70B0"/>
    <w:rsid w:val="005F72B2"/>
    <w:rsid w:val="006036A3"/>
    <w:rsid w:val="00610994"/>
    <w:rsid w:val="00615575"/>
    <w:rsid w:val="00617396"/>
    <w:rsid w:val="00623246"/>
    <w:rsid w:val="00663631"/>
    <w:rsid w:val="00681E06"/>
    <w:rsid w:val="006A0986"/>
    <w:rsid w:val="006A5B83"/>
    <w:rsid w:val="006C004A"/>
    <w:rsid w:val="006D783E"/>
    <w:rsid w:val="006D7FCC"/>
    <w:rsid w:val="006F70B4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A008F"/>
    <w:rsid w:val="007A3385"/>
    <w:rsid w:val="007A402C"/>
    <w:rsid w:val="007A63C2"/>
    <w:rsid w:val="007B24EA"/>
    <w:rsid w:val="007D3C05"/>
    <w:rsid w:val="007E6E43"/>
    <w:rsid w:val="007F0BD4"/>
    <w:rsid w:val="00801723"/>
    <w:rsid w:val="00802294"/>
    <w:rsid w:val="00802725"/>
    <w:rsid w:val="008101F2"/>
    <w:rsid w:val="00812858"/>
    <w:rsid w:val="00822CDF"/>
    <w:rsid w:val="008442F5"/>
    <w:rsid w:val="008842C4"/>
    <w:rsid w:val="00890385"/>
    <w:rsid w:val="008A13D2"/>
    <w:rsid w:val="008A5AD6"/>
    <w:rsid w:val="008B0E48"/>
    <w:rsid w:val="008B5CB6"/>
    <w:rsid w:val="008D0176"/>
    <w:rsid w:val="008F2C84"/>
    <w:rsid w:val="008F54E0"/>
    <w:rsid w:val="00915841"/>
    <w:rsid w:val="0094549D"/>
    <w:rsid w:val="00946702"/>
    <w:rsid w:val="009547D1"/>
    <w:rsid w:val="009559A8"/>
    <w:rsid w:val="0097339D"/>
    <w:rsid w:val="009C4416"/>
    <w:rsid w:val="009E6275"/>
    <w:rsid w:val="009F319E"/>
    <w:rsid w:val="00A05FCA"/>
    <w:rsid w:val="00A13797"/>
    <w:rsid w:val="00A140DD"/>
    <w:rsid w:val="00A40D4A"/>
    <w:rsid w:val="00A46849"/>
    <w:rsid w:val="00A61728"/>
    <w:rsid w:val="00A710DE"/>
    <w:rsid w:val="00A720DE"/>
    <w:rsid w:val="00A92E41"/>
    <w:rsid w:val="00A9318E"/>
    <w:rsid w:val="00AF67EE"/>
    <w:rsid w:val="00B01153"/>
    <w:rsid w:val="00B45F5A"/>
    <w:rsid w:val="00B47DA4"/>
    <w:rsid w:val="00B70797"/>
    <w:rsid w:val="00B71190"/>
    <w:rsid w:val="00B73082"/>
    <w:rsid w:val="00B80111"/>
    <w:rsid w:val="00B924C6"/>
    <w:rsid w:val="00BC3E1A"/>
    <w:rsid w:val="00BD3B51"/>
    <w:rsid w:val="00BE22B5"/>
    <w:rsid w:val="00BE7C5B"/>
    <w:rsid w:val="00BE7F5D"/>
    <w:rsid w:val="00BF47AE"/>
    <w:rsid w:val="00BF7D7C"/>
    <w:rsid w:val="00C2293F"/>
    <w:rsid w:val="00C33579"/>
    <w:rsid w:val="00C33FB9"/>
    <w:rsid w:val="00C42E20"/>
    <w:rsid w:val="00C514E2"/>
    <w:rsid w:val="00C559C3"/>
    <w:rsid w:val="00C60AB0"/>
    <w:rsid w:val="00C82DBA"/>
    <w:rsid w:val="00C95A33"/>
    <w:rsid w:val="00C95CE1"/>
    <w:rsid w:val="00C97B1F"/>
    <w:rsid w:val="00CC1618"/>
    <w:rsid w:val="00CC7C00"/>
    <w:rsid w:val="00CE4EA8"/>
    <w:rsid w:val="00D3413B"/>
    <w:rsid w:val="00D368C2"/>
    <w:rsid w:val="00D53480"/>
    <w:rsid w:val="00D751BF"/>
    <w:rsid w:val="00D76949"/>
    <w:rsid w:val="00D77FAD"/>
    <w:rsid w:val="00DA2533"/>
    <w:rsid w:val="00DB3D07"/>
    <w:rsid w:val="00DD366D"/>
    <w:rsid w:val="00DD3BA0"/>
    <w:rsid w:val="00E11811"/>
    <w:rsid w:val="00E2012B"/>
    <w:rsid w:val="00E20D58"/>
    <w:rsid w:val="00E37655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F82"/>
    <w:rsid w:val="00EC2262"/>
    <w:rsid w:val="00ED1CC7"/>
    <w:rsid w:val="00ED2BEA"/>
    <w:rsid w:val="00ED7BE1"/>
    <w:rsid w:val="00EF5FB5"/>
    <w:rsid w:val="00F0045A"/>
    <w:rsid w:val="00F034F3"/>
    <w:rsid w:val="00F17586"/>
    <w:rsid w:val="00F814A5"/>
    <w:rsid w:val="00F82990"/>
    <w:rsid w:val="00F926BA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20E0-88C6-40F3-B823-B737CAF0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2</cp:revision>
  <dcterms:created xsi:type="dcterms:W3CDTF">2020-08-10T11:44:00Z</dcterms:created>
  <dcterms:modified xsi:type="dcterms:W3CDTF">2020-08-10T11:44:00Z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