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3961" w14:textId="4A9EE912" w:rsidR="00577947" w:rsidRPr="00577947" w:rsidRDefault="00577947" w:rsidP="00577947">
      <w:pPr>
        <w:numPr>
          <w:ilvl w:val="0"/>
          <w:numId w:val="1"/>
        </w:numPr>
        <w:tabs>
          <w:tab w:val="clear" w:pos="432"/>
        </w:tabs>
        <w:ind w:left="0" w:firstLine="0"/>
        <w:rPr>
          <w:rFonts w:ascii="Arial" w:hAnsi="Arial" w:cs="Arial"/>
          <w:b/>
          <w:bCs/>
          <w:sz w:val="32"/>
          <w:szCs w:val="32"/>
          <w:lang w:val="pl-PL"/>
        </w:rPr>
      </w:pPr>
      <w:bookmarkStart w:id="0" w:name="_Hlk21420256"/>
      <w:r w:rsidRPr="00577947">
        <w:rPr>
          <w:rFonts w:ascii="Arial" w:hAnsi="Arial" w:cs="Arial"/>
          <w:b/>
          <w:bCs/>
          <w:sz w:val="32"/>
          <w:szCs w:val="32"/>
          <w:lang w:val="pl-PL"/>
        </w:rPr>
        <w:t>Kierowcy, którzy coraz częściej wybierają modele z automatyczną skrzynią biegów, wskazują kierunek w jakim zmierza zelektryfikowana motoryzacja</w:t>
      </w:r>
      <w:r>
        <w:rPr>
          <w:rFonts w:ascii="Arial" w:hAnsi="Arial" w:cs="Arial"/>
          <w:b/>
          <w:bCs/>
          <w:sz w:val="32"/>
          <w:szCs w:val="32"/>
          <w:lang w:val="pl-PL"/>
        </w:rPr>
        <w:t>.</w:t>
      </w:r>
    </w:p>
    <w:p w14:paraId="61412843" w14:textId="77777777" w:rsidR="00577947" w:rsidRPr="00577947" w:rsidRDefault="00577947" w:rsidP="00577947">
      <w:pPr>
        <w:numPr>
          <w:ilvl w:val="0"/>
          <w:numId w:val="1"/>
        </w:numPr>
        <w:tabs>
          <w:tab w:val="clear" w:pos="432"/>
        </w:tabs>
        <w:ind w:left="0" w:firstLine="0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1BB26D01" w14:textId="77777777" w:rsidR="00577947" w:rsidRPr="00577947" w:rsidRDefault="00577947" w:rsidP="00577947">
      <w:pPr>
        <w:numPr>
          <w:ilvl w:val="0"/>
          <w:numId w:val="1"/>
        </w:numPr>
        <w:tabs>
          <w:tab w:val="clear" w:pos="432"/>
        </w:tabs>
        <w:ind w:left="0" w:firstLine="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577947">
        <w:rPr>
          <w:rFonts w:ascii="Arial" w:hAnsi="Arial" w:cs="Arial"/>
          <w:b/>
          <w:noProof/>
          <w:sz w:val="32"/>
          <w:szCs w:val="32"/>
          <w:lang w:val="pl-PL"/>
        </w:rPr>
        <w:drawing>
          <wp:inline distT="0" distB="0" distL="0" distR="0" wp14:anchorId="63200397" wp14:editId="5E36ADDE">
            <wp:extent cx="6257925" cy="3505200"/>
            <wp:effectExtent l="0" t="0" r="9525" b="0"/>
            <wp:docPr id="5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C90F6" w14:textId="77777777" w:rsidR="00577947" w:rsidRPr="00577947" w:rsidRDefault="00577947" w:rsidP="00577947">
      <w:pPr>
        <w:rPr>
          <w:rFonts w:ascii="Arial" w:hAnsi="Arial" w:cs="Arial"/>
          <w:b/>
          <w:bCs/>
          <w:sz w:val="32"/>
          <w:szCs w:val="32"/>
          <w:lang w:val="pl-PL"/>
        </w:rPr>
      </w:pPr>
    </w:p>
    <w:p w14:paraId="2821FFCA" w14:textId="6C23673B" w:rsidR="00577947" w:rsidRPr="00577947" w:rsidRDefault="00577947" w:rsidP="00577947">
      <w:pPr>
        <w:rPr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 w:rsidRPr="00577947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b/>
          <w:sz w:val="22"/>
          <w:szCs w:val="22"/>
          <w:lang w:val="pl-PL"/>
        </w:rPr>
        <w:t>4</w:t>
      </w:r>
      <w:r w:rsidRPr="0057794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sierpni</w:t>
      </w:r>
      <w:r w:rsidRPr="00577947">
        <w:rPr>
          <w:rFonts w:ascii="Arial" w:hAnsi="Arial" w:cs="Arial"/>
          <w:b/>
          <w:sz w:val="22"/>
          <w:szCs w:val="22"/>
          <w:lang w:val="pl-PL"/>
        </w:rPr>
        <w:t>a 2020 r</w:t>
      </w:r>
      <w:r>
        <w:rPr>
          <w:rFonts w:ascii="Arial" w:hAnsi="Arial" w:cs="Arial"/>
          <w:b/>
          <w:sz w:val="22"/>
          <w:szCs w:val="22"/>
          <w:lang w:val="pl-PL"/>
        </w:rPr>
        <w:t>oku</w:t>
      </w:r>
      <w:r w:rsidRPr="00577947">
        <w:rPr>
          <w:rFonts w:ascii="Arial" w:hAnsi="Arial" w:cs="Arial"/>
          <w:sz w:val="22"/>
          <w:szCs w:val="22"/>
          <w:lang w:val="pl-PL"/>
        </w:rPr>
        <w:t xml:space="preserve"> - Według nowych danych sprzedaży Forda, coraz więcej europejskich kierowców wybiera pojazdy z automatycznymi skrzyniami biegów.</w:t>
      </w:r>
    </w:p>
    <w:p w14:paraId="3B5EBABB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</w:p>
    <w:p w14:paraId="3C2E6350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  <w:r w:rsidRPr="00577947">
        <w:rPr>
          <w:rFonts w:ascii="Arial" w:hAnsi="Arial" w:cs="Arial"/>
          <w:sz w:val="22"/>
          <w:szCs w:val="22"/>
          <w:lang w:val="pl-PL"/>
        </w:rPr>
        <w:t xml:space="preserve">Tylko w ciągu ostatnich trzech lat liczba sprzedawanych przez Forda samochodów osobowych i dostawczych z automatyczną skrzynią biegów wzrosła ponad trzykrotnie z 10,4 procent w 2017 r. Do 31,3 procent w pierwszym miesiącu 2020 r. </w:t>
      </w:r>
      <w:r w:rsidRPr="00577947">
        <w:rPr>
          <w:rFonts w:ascii="Arial" w:hAnsi="Arial" w:cs="Arial"/>
          <w:sz w:val="22"/>
          <w:szCs w:val="22"/>
          <w:vertAlign w:val="superscript"/>
          <w:lang w:val="pl-PL"/>
        </w:rPr>
        <w:t>1</w:t>
      </w:r>
    </w:p>
    <w:p w14:paraId="5AA4C38F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</w:p>
    <w:p w14:paraId="7DEF3A6F" w14:textId="112C68EA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  <w:r w:rsidRPr="00577947">
        <w:rPr>
          <w:rFonts w:ascii="Arial" w:eastAsia="Arial" w:hAnsi="Arial" w:cs="Arial"/>
          <w:sz w:val="22"/>
          <w:szCs w:val="22"/>
          <w:lang w:val="pl-PL"/>
        </w:rPr>
        <w:t xml:space="preserve">– Wśród wielu zalet automatycznych przekładni, jedną z najważniejszych jest to, że umożliwiają klientom korzystanie z najnowszych systemów wspomagania kierowcy, dzięki czemu łatwiejsze i wygodniejsze jest parkowanie czy jazda w miejskich korkach – powiedział </w:t>
      </w:r>
      <w:proofErr w:type="spellStart"/>
      <w:r w:rsidRPr="00577947">
        <w:rPr>
          <w:rFonts w:ascii="Arial" w:eastAsia="Arial" w:hAnsi="Arial" w:cs="Arial"/>
          <w:sz w:val="22"/>
          <w:szCs w:val="22"/>
          <w:lang w:val="pl-PL"/>
        </w:rPr>
        <w:t>Roelant</w:t>
      </w:r>
      <w:proofErr w:type="spellEnd"/>
      <w:r w:rsidRPr="00577947">
        <w:rPr>
          <w:rFonts w:ascii="Arial" w:eastAsia="Arial" w:hAnsi="Arial" w:cs="Arial"/>
          <w:sz w:val="22"/>
          <w:szCs w:val="22"/>
          <w:lang w:val="pl-PL"/>
        </w:rPr>
        <w:t xml:space="preserve"> de </w:t>
      </w:r>
      <w:proofErr w:type="spellStart"/>
      <w:r w:rsidRPr="00577947">
        <w:rPr>
          <w:rFonts w:ascii="Arial" w:eastAsia="Arial" w:hAnsi="Arial" w:cs="Arial"/>
          <w:sz w:val="22"/>
          <w:szCs w:val="22"/>
          <w:lang w:val="pl-PL"/>
        </w:rPr>
        <w:t>Waard</w:t>
      </w:r>
      <w:proofErr w:type="spellEnd"/>
      <w:r w:rsidRPr="00577947">
        <w:rPr>
          <w:rFonts w:ascii="Arial" w:eastAsia="Arial" w:hAnsi="Arial" w:cs="Arial"/>
          <w:sz w:val="22"/>
          <w:szCs w:val="22"/>
          <w:lang w:val="pl-PL"/>
        </w:rPr>
        <w:t>, wiceprezes ds. marketingu, sprzedaży i serwisu w Ford of Europe.</w:t>
      </w:r>
      <w:r w:rsidRPr="00577947">
        <w:rPr>
          <w:rFonts w:ascii="Arial" w:hAnsi="Arial" w:cs="Arial"/>
          <w:sz w:val="22"/>
          <w:szCs w:val="22"/>
          <w:lang w:val="pl-PL"/>
        </w:rPr>
        <w:t xml:space="preserve"> – Oczekujemy, że ten trend się utrzyma, ponieważ w przyszłości coraz więcej osób będzie zmieniać samochody na elektryczne – co spowoduje, że automatyczne skrzynie biegów staną się normą.</w:t>
      </w:r>
    </w:p>
    <w:p w14:paraId="5DA1AD55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</w:p>
    <w:p w14:paraId="1E837D35" w14:textId="77777777" w:rsidR="00577947" w:rsidRPr="00577947" w:rsidRDefault="00577947" w:rsidP="00577947">
      <w:pPr>
        <w:rPr>
          <w:lang w:val="pl-PL"/>
        </w:rPr>
      </w:pPr>
      <w:r w:rsidRPr="00577947">
        <w:rPr>
          <w:rFonts w:ascii="Arial" w:hAnsi="Arial" w:cs="Arial"/>
          <w:sz w:val="22"/>
          <w:szCs w:val="22"/>
          <w:lang w:val="pl-PL"/>
        </w:rPr>
        <w:t>Ford oferuje automatyczne skrzynie biegów od prawie 70 lat. Ale dzisiejsza wyrafinowana przekładnia odeszła daleko od pionierskiej Ford-O-</w:t>
      </w:r>
      <w:proofErr w:type="spellStart"/>
      <w:r w:rsidRPr="00577947">
        <w:rPr>
          <w:rFonts w:ascii="Arial" w:hAnsi="Arial" w:cs="Arial"/>
          <w:sz w:val="22"/>
          <w:szCs w:val="22"/>
          <w:lang w:val="pl-PL"/>
        </w:rPr>
        <w:t>Matic</w:t>
      </w:r>
      <w:proofErr w:type="spellEnd"/>
      <w:r w:rsidRPr="00577947">
        <w:rPr>
          <w:rFonts w:ascii="Arial" w:hAnsi="Arial" w:cs="Arial"/>
          <w:sz w:val="22"/>
          <w:szCs w:val="22"/>
          <w:lang w:val="pl-PL"/>
        </w:rPr>
        <w:t>, która miała tylko trzy przełożenia do przodu.</w:t>
      </w:r>
    </w:p>
    <w:p w14:paraId="3567203D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</w:p>
    <w:p w14:paraId="504C90A9" w14:textId="5D733876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  <w:r w:rsidRPr="00577947">
        <w:rPr>
          <w:rFonts w:ascii="Arial" w:hAnsi="Arial" w:cs="Arial"/>
          <w:sz w:val="22"/>
          <w:szCs w:val="22"/>
          <w:lang w:val="pl-PL"/>
        </w:rPr>
        <w:t>Współczesne automatyczne skrzynie biegów oferują wiele korzyści, m.in. zmniejszają hałas w kabinie, łagodzą też objawy choroby lokomocyjnej. Są bogatsze o rozwiązania, które pozwalają kierowcom podczas korzystania z</w:t>
      </w:r>
      <w:r w:rsidR="0006720E">
        <w:rPr>
          <w:rFonts w:ascii="Arial" w:hAnsi="Arial" w:cs="Arial"/>
          <w:sz w:val="22"/>
          <w:szCs w:val="22"/>
          <w:lang w:val="pl-PL"/>
        </w:rPr>
        <w:t xml:space="preserve"> adaptacyjnego tempomatu</w:t>
      </w:r>
      <w:r w:rsidRPr="00577947">
        <w:rPr>
          <w:rFonts w:ascii="Arial" w:hAnsi="Arial" w:cs="Arial"/>
          <w:sz w:val="22"/>
          <w:szCs w:val="22"/>
          <w:lang w:val="pl-PL"/>
        </w:rPr>
        <w:t xml:space="preserve"> zatrzymać pojazd w gęstym ruchu miejskim, a następnie automatycznie ruszyć z miejsca lub zaparkować bez udziału kierowcy za naciśnięciem przycisku. </w:t>
      </w:r>
      <w:r w:rsidRPr="00577947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</w:p>
    <w:p w14:paraId="24568EB2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</w:p>
    <w:p w14:paraId="27ACFA56" w14:textId="3FD89E39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  <w:r w:rsidRPr="00577947">
        <w:rPr>
          <w:rFonts w:ascii="Arial" w:hAnsi="Arial" w:cs="Arial"/>
          <w:sz w:val="22"/>
          <w:szCs w:val="22"/>
          <w:lang w:val="pl-PL"/>
        </w:rPr>
        <w:t xml:space="preserve">Dzięki aplikacji </w:t>
      </w:r>
      <w:hyperlink r:id="rId9" w:history="1">
        <w:proofErr w:type="spellStart"/>
        <w:r w:rsidRPr="00577947">
          <w:rPr>
            <w:rFonts w:ascii="Arial" w:hAnsi="Arial" w:cs="Arial"/>
            <w:color w:val="0000FF"/>
            <w:sz w:val="22"/>
            <w:szCs w:val="22"/>
            <w:u w:val="single"/>
            <w:lang w:val="pl-PL"/>
          </w:rPr>
          <w:t>FordPass</w:t>
        </w:r>
        <w:proofErr w:type="spellEnd"/>
      </w:hyperlink>
      <w:r w:rsidRPr="00577947">
        <w:rPr>
          <w:rFonts w:ascii="Arial" w:hAnsi="Arial" w:cs="Arial"/>
          <w:sz w:val="22"/>
          <w:szCs w:val="22"/>
          <w:lang w:val="pl-PL"/>
        </w:rPr>
        <w:t xml:space="preserve"> kierowcy modeli Forda z automatyczną skrzynią biegów mogą zdalnie uruchomić silnik pojazdu, a więc również schłodzić lub rozgrzać kabinę przed wyjazdem do komfortowej temperatury i</w:t>
      </w:r>
      <w:bookmarkStart w:id="1" w:name="_GoBack"/>
      <w:bookmarkEnd w:id="1"/>
      <w:r w:rsidRPr="00577947">
        <w:rPr>
          <w:rFonts w:ascii="Arial" w:hAnsi="Arial" w:cs="Arial"/>
          <w:sz w:val="22"/>
          <w:szCs w:val="22"/>
          <w:lang w:val="pl-PL"/>
        </w:rPr>
        <w:t xml:space="preserve"> odmrażać przednią szybę w chłodne poranki. </w:t>
      </w:r>
      <w:r w:rsidRPr="00577947">
        <w:rPr>
          <w:rFonts w:ascii="Arial" w:hAnsi="Arial" w:cs="Arial"/>
          <w:sz w:val="22"/>
          <w:szCs w:val="22"/>
          <w:vertAlign w:val="superscript"/>
          <w:lang w:val="pl-PL"/>
        </w:rPr>
        <w:t>3</w:t>
      </w:r>
    </w:p>
    <w:p w14:paraId="320C8D82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</w:p>
    <w:p w14:paraId="269D8D05" w14:textId="77777777" w:rsidR="00577947" w:rsidRPr="00577947" w:rsidRDefault="00577947" w:rsidP="00577947">
      <w:pPr>
        <w:rPr>
          <w:rFonts w:ascii="Arial" w:hAnsi="Arial" w:cs="Arial"/>
          <w:b/>
          <w:bCs/>
          <w:sz w:val="22"/>
          <w:szCs w:val="22"/>
          <w:lang w:val="pl-PL"/>
        </w:rPr>
      </w:pPr>
      <w:r w:rsidRPr="00577947">
        <w:rPr>
          <w:rFonts w:ascii="Arial" w:hAnsi="Arial" w:cs="Arial"/>
          <w:b/>
          <w:bCs/>
          <w:sz w:val="22"/>
          <w:szCs w:val="22"/>
          <w:lang w:val="pl-PL"/>
        </w:rPr>
        <w:t>Trend wzrostowy dla segmentów małych i średnich samochodów</w:t>
      </w:r>
    </w:p>
    <w:p w14:paraId="0537B5A9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  <w:r w:rsidRPr="00577947">
        <w:rPr>
          <w:rFonts w:ascii="Arial" w:hAnsi="Arial" w:cs="Arial"/>
          <w:sz w:val="22"/>
          <w:szCs w:val="22"/>
          <w:lang w:val="pl-PL"/>
        </w:rPr>
        <w:t>Trend ten kształtuje rosnąca liczba kierowców wybierających małe i średnie samochody z automatyczną skrzynią biegów.</w:t>
      </w:r>
    </w:p>
    <w:p w14:paraId="4540DAC1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</w:p>
    <w:p w14:paraId="6414E717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  <w:r w:rsidRPr="00577947">
        <w:rPr>
          <w:rFonts w:ascii="Arial" w:hAnsi="Arial" w:cs="Arial"/>
          <w:sz w:val="22"/>
          <w:szCs w:val="22"/>
          <w:lang w:val="pl-PL"/>
        </w:rPr>
        <w:t>Forda Focus jest modelem, wybierany coraz częściej z automatycznymi skrzyniami biegów.</w:t>
      </w:r>
      <w:bookmarkStart w:id="2" w:name="_Hlk44314698"/>
      <w:bookmarkEnd w:id="2"/>
      <w:r w:rsidRPr="00577947">
        <w:rPr>
          <w:rFonts w:ascii="Arial" w:hAnsi="Arial" w:cs="Arial"/>
          <w:sz w:val="22"/>
          <w:szCs w:val="22"/>
          <w:lang w:val="pl-PL"/>
        </w:rPr>
        <w:t xml:space="preserve"> W styczniu tego roku 30,9 procent klientów wybrało wersje z automatyczną skrzynią biegów, podczas gdy w 2017 roku było to tylko 7 procent.</w:t>
      </w:r>
    </w:p>
    <w:p w14:paraId="10F25A6A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</w:p>
    <w:p w14:paraId="3C834E0E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  <w:hyperlink r:id="rId10" w:history="1">
        <w:r w:rsidRPr="00577947">
          <w:rPr>
            <w:rFonts w:ascii="Arial" w:hAnsi="Arial" w:cs="Arial"/>
            <w:color w:val="0000FF"/>
            <w:sz w:val="21"/>
            <w:szCs w:val="21"/>
            <w:u w:val="single"/>
            <w:lang w:val="pl-PL"/>
          </w:rPr>
          <w:t>W gamie modeli Fiesta</w:t>
        </w:r>
      </w:hyperlink>
      <w:r w:rsidRPr="00577947">
        <w:rPr>
          <w:rFonts w:ascii="Arial" w:hAnsi="Arial" w:cs="Arial"/>
          <w:sz w:val="21"/>
          <w:szCs w:val="21"/>
          <w:lang w:val="pl-PL"/>
        </w:rPr>
        <w:t xml:space="preserve"> i </w:t>
      </w:r>
      <w:hyperlink r:id="rId11" w:history="1">
        <w:r w:rsidRPr="00577947">
          <w:rPr>
            <w:rFonts w:ascii="Arial" w:hAnsi="Arial" w:cs="Arial"/>
            <w:color w:val="0000FF"/>
            <w:sz w:val="21"/>
            <w:szCs w:val="21"/>
            <w:u w:val="single"/>
            <w:lang w:val="pl-PL"/>
          </w:rPr>
          <w:t>Puma</w:t>
        </w:r>
      </w:hyperlink>
      <w:r w:rsidRPr="00577947">
        <w:rPr>
          <w:rFonts w:ascii="Arial" w:hAnsi="Arial" w:cs="Arial"/>
          <w:sz w:val="21"/>
          <w:szCs w:val="21"/>
          <w:lang w:val="pl-PL"/>
        </w:rPr>
        <w:t xml:space="preserve"> klienci znajdą również wersje z automatyczną skrzynią biegów, oferujące nawet o 15 procent mniejsze zużycie paliwa w porównaniu z analogicznym modelem Fiesty poprzedniej generacji. </w:t>
      </w:r>
      <w:r w:rsidRPr="00577947">
        <w:rPr>
          <w:rFonts w:ascii="Arial" w:hAnsi="Arial" w:cs="Arial"/>
          <w:sz w:val="21"/>
          <w:szCs w:val="21"/>
          <w:vertAlign w:val="superscript"/>
          <w:lang w:val="pl-PL"/>
        </w:rPr>
        <w:t>4</w:t>
      </w:r>
    </w:p>
    <w:p w14:paraId="145635BF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</w:p>
    <w:p w14:paraId="4A589EE0" w14:textId="77777777" w:rsidR="00577947" w:rsidRPr="00577947" w:rsidRDefault="00577947" w:rsidP="00577947">
      <w:pPr>
        <w:rPr>
          <w:rFonts w:ascii="Arial" w:hAnsi="Arial" w:cs="Arial"/>
          <w:b/>
          <w:bCs/>
          <w:sz w:val="22"/>
          <w:szCs w:val="22"/>
          <w:lang w:val="pl-PL"/>
        </w:rPr>
      </w:pPr>
      <w:r w:rsidRPr="00577947">
        <w:rPr>
          <w:rFonts w:ascii="Arial" w:hAnsi="Arial" w:cs="Arial"/>
          <w:b/>
          <w:bCs/>
          <w:sz w:val="22"/>
          <w:szCs w:val="22"/>
          <w:lang w:val="pl-PL"/>
        </w:rPr>
        <w:t>Coraz więcej samochodów dostawczych z automatyczną przekładnią</w:t>
      </w:r>
    </w:p>
    <w:p w14:paraId="44D3E3F2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  <w:r w:rsidRPr="00577947">
        <w:rPr>
          <w:rFonts w:ascii="Arial" w:hAnsi="Arial" w:cs="Arial"/>
          <w:sz w:val="22"/>
          <w:szCs w:val="22"/>
          <w:lang w:val="pl-PL"/>
        </w:rPr>
        <w:t>Podobnie ma się sytuacja w grupie samochodów dostawczych Forda, gdzie aż 31 procent sprzedanych w styczniu egzemplarzy miało automatyczne skrzynie biegów, podczas gdy w 2017 roku było to 13,4 procent.</w:t>
      </w:r>
    </w:p>
    <w:p w14:paraId="0FDC9C53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</w:p>
    <w:p w14:paraId="1D65D4BA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  <w:r w:rsidRPr="00577947">
        <w:rPr>
          <w:rFonts w:ascii="Arial" w:hAnsi="Arial" w:cs="Arial"/>
          <w:sz w:val="22"/>
          <w:szCs w:val="22"/>
          <w:lang w:val="pl-PL"/>
        </w:rPr>
        <w:t>W tym samym miesiącu wśród klientów kupujących Transita 19 procent wybrało wersje wyposażone w automatyczne przekładnie, analogicznie, w roku 2017 było to tylko 4,7 procent klientów.</w:t>
      </w:r>
    </w:p>
    <w:p w14:paraId="669E9C5D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</w:p>
    <w:p w14:paraId="6DE18FD9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  <w:r w:rsidRPr="00577947">
        <w:rPr>
          <w:rFonts w:ascii="Arial" w:hAnsi="Arial" w:cs="Arial"/>
          <w:sz w:val="22"/>
          <w:szCs w:val="22"/>
          <w:lang w:val="pl-PL"/>
        </w:rPr>
        <w:t>Na pięciu dużych rynkach europejskich w roku 2019 najwyższy odsetek modeli sprzedanych z automatycznymi skrzyniami biegów odnotowano w Niemczech i kolejno: we Francji, Wielkiej Brytanii, Hiszpanii i Włoszech.</w:t>
      </w:r>
    </w:p>
    <w:p w14:paraId="01585F89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</w:p>
    <w:p w14:paraId="3655CD3B" w14:textId="77777777" w:rsidR="00577947" w:rsidRPr="00577947" w:rsidRDefault="00577947" w:rsidP="00577947">
      <w:pPr>
        <w:rPr>
          <w:rFonts w:ascii="Arial" w:hAnsi="Arial" w:cs="Arial"/>
          <w:b/>
          <w:bCs/>
          <w:sz w:val="22"/>
          <w:szCs w:val="22"/>
          <w:lang w:val="pl-PL"/>
        </w:rPr>
      </w:pPr>
      <w:r w:rsidRPr="00577947">
        <w:rPr>
          <w:rFonts w:ascii="Arial" w:hAnsi="Arial" w:cs="Arial"/>
          <w:b/>
          <w:bCs/>
          <w:sz w:val="22"/>
          <w:szCs w:val="22"/>
          <w:lang w:val="pl-PL"/>
        </w:rPr>
        <w:t>Droga przed nami</w:t>
      </w:r>
    </w:p>
    <w:p w14:paraId="14AF2EB3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  <w:r w:rsidRPr="00577947">
        <w:rPr>
          <w:rFonts w:ascii="Arial" w:hAnsi="Arial" w:cs="Arial"/>
          <w:sz w:val="22"/>
          <w:szCs w:val="22"/>
          <w:lang w:val="pl-PL"/>
        </w:rPr>
        <w:t>Automatyczne skrzynie biegów wskazują kierunek, w jakim zmierza motoryzacja stawiająca na pojazdy elektryczne, nie wymagające od kierowców zmiany biegów oraz na pojazdy autonomiczne.</w:t>
      </w:r>
    </w:p>
    <w:p w14:paraId="1F9F34F0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</w:p>
    <w:p w14:paraId="39BE9F99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  <w:r w:rsidRPr="00577947">
        <w:rPr>
          <w:rFonts w:ascii="Arial" w:hAnsi="Arial" w:cs="Arial"/>
          <w:sz w:val="22"/>
          <w:szCs w:val="22"/>
          <w:lang w:val="pl-PL"/>
        </w:rPr>
        <w:t>W nowym, w pełni elektrycznym Mustangu Mach-E kierowca może przyspieszać i zwalniać za pomocą jednego pedału, ponieważ układ regeneracyjnego odzysku energii powoduje wystarczające spowolnienie, aby po zdjęciu nogi z pedału gazu musiał być używany pedał hamulca.</w:t>
      </w:r>
    </w:p>
    <w:p w14:paraId="60FD8433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</w:p>
    <w:p w14:paraId="78C58DA3" w14:textId="77777777" w:rsidR="00577947" w:rsidRPr="00577947" w:rsidRDefault="00577947" w:rsidP="00577947">
      <w:pPr>
        <w:rPr>
          <w:rFonts w:ascii="Arial" w:hAnsi="Arial" w:cs="Arial"/>
          <w:sz w:val="22"/>
          <w:szCs w:val="22"/>
          <w:lang w:val="pl-PL"/>
        </w:rPr>
      </w:pPr>
    </w:p>
    <w:p w14:paraId="4DD7A2BF" w14:textId="77777777" w:rsidR="00577947" w:rsidRPr="00577947" w:rsidRDefault="00577947" w:rsidP="00577947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577947">
        <w:rPr>
          <w:rFonts w:ascii="Arial" w:hAnsi="Arial" w:cs="Arial"/>
          <w:sz w:val="22"/>
          <w:szCs w:val="22"/>
          <w:lang w:val="pl-PL"/>
        </w:rPr>
        <w:t># # #</w:t>
      </w:r>
    </w:p>
    <w:p w14:paraId="648B4F07" w14:textId="77777777" w:rsidR="00577947" w:rsidRPr="00577947" w:rsidRDefault="00577947" w:rsidP="00577947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4F63B0FC" w14:textId="77777777" w:rsidR="00577947" w:rsidRPr="00577947" w:rsidRDefault="00577947" w:rsidP="00577947">
      <w:pPr>
        <w:rPr>
          <w:rFonts w:ascii="Arial" w:hAnsi="Arial" w:cs="Arial"/>
          <w:szCs w:val="20"/>
          <w:lang w:val="pl-PL"/>
        </w:rPr>
      </w:pPr>
      <w:r w:rsidRPr="00577947">
        <w:rPr>
          <w:rFonts w:ascii="Arial" w:hAnsi="Arial" w:cs="Arial"/>
          <w:szCs w:val="20"/>
          <w:lang w:val="pl-PL"/>
        </w:rPr>
        <w:lastRenderedPageBreak/>
        <w:t xml:space="preserve">1. Pojazdy z automatyczną przekładnią w gamie, uwzględnione w analizie danych wszystkich kanałów sprzedaży 20 krajów w Europie: C-MAX, </w:t>
      </w:r>
      <w:proofErr w:type="spellStart"/>
      <w:r w:rsidRPr="00577947">
        <w:rPr>
          <w:rFonts w:ascii="Arial" w:hAnsi="Arial" w:cs="Arial"/>
          <w:szCs w:val="20"/>
          <w:lang w:val="pl-PL"/>
        </w:rPr>
        <w:t>EcoSport</w:t>
      </w:r>
      <w:proofErr w:type="spellEnd"/>
      <w:r w:rsidRPr="00577947">
        <w:rPr>
          <w:rFonts w:ascii="Arial" w:hAnsi="Arial" w:cs="Arial"/>
          <w:szCs w:val="20"/>
          <w:lang w:val="pl-PL"/>
        </w:rPr>
        <w:t xml:space="preserve">, Fiesta, Focus, Galaxy, Mondeo, Mustang, </w:t>
      </w:r>
      <w:proofErr w:type="spellStart"/>
      <w:r w:rsidRPr="00577947">
        <w:rPr>
          <w:rFonts w:ascii="Arial" w:hAnsi="Arial" w:cs="Arial"/>
          <w:szCs w:val="20"/>
          <w:lang w:val="pl-PL"/>
        </w:rPr>
        <w:t>Ranger</w:t>
      </w:r>
      <w:proofErr w:type="spellEnd"/>
      <w:r w:rsidRPr="00577947">
        <w:rPr>
          <w:rFonts w:ascii="Arial" w:hAnsi="Arial" w:cs="Arial"/>
          <w:szCs w:val="20"/>
          <w:lang w:val="pl-PL"/>
        </w:rPr>
        <w:t>, S</w:t>
      </w:r>
      <w:r w:rsidRPr="00577947">
        <w:rPr>
          <w:rFonts w:ascii="Arial" w:hAnsi="Arial" w:cs="Arial"/>
          <w:szCs w:val="20"/>
          <w:lang w:val="pl-PL"/>
        </w:rPr>
        <w:noBreakHyphen/>
        <w:t xml:space="preserve">MAX, </w:t>
      </w:r>
      <w:proofErr w:type="spellStart"/>
      <w:r w:rsidRPr="00577947">
        <w:rPr>
          <w:rFonts w:ascii="Arial" w:hAnsi="Arial" w:cs="Arial"/>
          <w:szCs w:val="20"/>
          <w:lang w:val="pl-PL"/>
        </w:rPr>
        <w:t>Tourneo</w:t>
      </w:r>
      <w:proofErr w:type="spellEnd"/>
      <w:r w:rsidRPr="00577947">
        <w:rPr>
          <w:rFonts w:ascii="Arial" w:hAnsi="Arial" w:cs="Arial"/>
          <w:szCs w:val="20"/>
          <w:lang w:val="pl-PL"/>
        </w:rPr>
        <w:t xml:space="preserve"> Connect, </w:t>
      </w:r>
      <w:proofErr w:type="spellStart"/>
      <w:r w:rsidRPr="00577947">
        <w:rPr>
          <w:rFonts w:ascii="Arial" w:hAnsi="Arial" w:cs="Arial"/>
          <w:szCs w:val="20"/>
          <w:lang w:val="pl-PL"/>
        </w:rPr>
        <w:t>Tourneo</w:t>
      </w:r>
      <w:proofErr w:type="spellEnd"/>
      <w:r w:rsidRPr="00577947">
        <w:rPr>
          <w:rFonts w:ascii="Arial" w:hAnsi="Arial" w:cs="Arial"/>
          <w:szCs w:val="20"/>
          <w:lang w:val="pl-PL"/>
        </w:rPr>
        <w:t xml:space="preserve"> </w:t>
      </w:r>
      <w:proofErr w:type="spellStart"/>
      <w:r w:rsidRPr="00577947">
        <w:rPr>
          <w:rFonts w:ascii="Arial" w:hAnsi="Arial" w:cs="Arial"/>
          <w:szCs w:val="20"/>
          <w:lang w:val="pl-PL"/>
        </w:rPr>
        <w:t>Custom</w:t>
      </w:r>
      <w:proofErr w:type="spellEnd"/>
      <w:r w:rsidRPr="00577947">
        <w:rPr>
          <w:rFonts w:ascii="Arial" w:hAnsi="Arial" w:cs="Arial"/>
          <w:szCs w:val="20"/>
          <w:lang w:val="pl-PL"/>
        </w:rPr>
        <w:t xml:space="preserve">, Transit, Transit Connect i Transit </w:t>
      </w:r>
      <w:proofErr w:type="spellStart"/>
      <w:r w:rsidRPr="00577947">
        <w:rPr>
          <w:rFonts w:ascii="Arial" w:hAnsi="Arial" w:cs="Arial"/>
          <w:szCs w:val="20"/>
          <w:lang w:val="pl-PL"/>
        </w:rPr>
        <w:t>Custom</w:t>
      </w:r>
      <w:proofErr w:type="spellEnd"/>
      <w:r w:rsidRPr="00577947">
        <w:rPr>
          <w:rFonts w:ascii="Arial" w:hAnsi="Arial" w:cs="Arial"/>
          <w:szCs w:val="20"/>
          <w:lang w:val="pl-PL"/>
        </w:rPr>
        <w:t xml:space="preserve">. Edge i </w:t>
      </w:r>
      <w:proofErr w:type="spellStart"/>
      <w:r w:rsidRPr="00577947">
        <w:rPr>
          <w:rFonts w:ascii="Arial" w:hAnsi="Arial" w:cs="Arial"/>
          <w:szCs w:val="20"/>
          <w:lang w:val="pl-PL"/>
        </w:rPr>
        <w:t>Kuga</w:t>
      </w:r>
      <w:proofErr w:type="spellEnd"/>
      <w:r w:rsidRPr="00577947">
        <w:rPr>
          <w:rFonts w:ascii="Arial" w:hAnsi="Arial" w:cs="Arial"/>
          <w:szCs w:val="20"/>
          <w:lang w:val="pl-PL"/>
        </w:rPr>
        <w:t xml:space="preserve"> nie znalazły się w zestawieniu, ponieważ </w:t>
      </w:r>
      <w:proofErr w:type="spellStart"/>
      <w:r w:rsidRPr="00577947">
        <w:rPr>
          <w:rFonts w:ascii="Arial" w:hAnsi="Arial" w:cs="Arial"/>
          <w:szCs w:val="20"/>
          <w:lang w:val="pl-PL"/>
        </w:rPr>
        <w:t>ie</w:t>
      </w:r>
      <w:proofErr w:type="spellEnd"/>
      <w:r w:rsidRPr="00577947">
        <w:rPr>
          <w:rFonts w:ascii="Arial" w:hAnsi="Arial" w:cs="Arial"/>
          <w:szCs w:val="20"/>
          <w:lang w:val="pl-PL"/>
        </w:rPr>
        <w:t xml:space="preserve"> były dostępne pełne dane, dotyczące przeniesienia napędu. Dane obejmują niewielki margines poza analizą, w przypadku którego dane dotyczące przeniesienia napędu nie były dostępne dla pewnych modeli. Margines niepełnych danych to dla poszczególnych lat: 10,6% (2017), 4,8% (2018), 0,7% (2019), 0,9% (2020). Dane za 2020 r. dotyczą stycznia. </w:t>
      </w:r>
    </w:p>
    <w:p w14:paraId="3E898D89" w14:textId="77777777" w:rsidR="00577947" w:rsidRPr="00577947" w:rsidRDefault="00577947" w:rsidP="00577947">
      <w:pPr>
        <w:rPr>
          <w:rFonts w:ascii="Arial" w:hAnsi="Arial" w:cs="Arial"/>
          <w:color w:val="000000"/>
          <w:szCs w:val="20"/>
          <w:lang w:val="pl-PL"/>
        </w:rPr>
      </w:pPr>
      <w:r w:rsidRPr="00577947">
        <w:rPr>
          <w:rFonts w:ascii="Arial" w:hAnsi="Arial" w:cs="Arial"/>
          <w:szCs w:val="20"/>
          <w:lang w:val="pl-PL"/>
        </w:rPr>
        <w:t xml:space="preserve">2. Jeśli czas zatrzymania przekracza 3 sekundy, kierowca musi interweniować naciskając przycisk „RES” lub delikatnie nacisnąć pedał przyspieszenia, by wznowić działanie </w:t>
      </w:r>
      <w:proofErr w:type="spellStart"/>
      <w:proofErr w:type="gramStart"/>
      <w:r w:rsidRPr="00577947">
        <w:rPr>
          <w:rFonts w:ascii="Arial" w:hAnsi="Arial" w:cs="Arial"/>
          <w:szCs w:val="20"/>
          <w:lang w:val="pl-PL"/>
        </w:rPr>
        <w:t>systemu.</w:t>
      </w:r>
      <w:r w:rsidRPr="00577947">
        <w:rPr>
          <w:rFonts w:ascii="Arial" w:hAnsi="Arial" w:cs="Arial"/>
          <w:color w:val="000000"/>
          <w:szCs w:val="20"/>
          <w:lang w:val="pl-PL"/>
        </w:rPr>
        <w:t>Systemy</w:t>
      </w:r>
      <w:proofErr w:type="spellEnd"/>
      <w:proofErr w:type="gramEnd"/>
      <w:r w:rsidRPr="00577947">
        <w:rPr>
          <w:rFonts w:ascii="Arial" w:hAnsi="Arial" w:cs="Arial"/>
          <w:color w:val="000000"/>
          <w:szCs w:val="20"/>
          <w:lang w:val="pl-PL"/>
        </w:rPr>
        <w:t xml:space="preserve"> asystenckie wspomagające kierowcę są uzupełnieniem jego uwagi, ale nie zastępują oceny sytuacji i konieczności kontrolowania pojazdu przez kierowcę.</w:t>
      </w:r>
    </w:p>
    <w:p w14:paraId="3E07A061" w14:textId="77777777" w:rsidR="00577947" w:rsidRPr="00577947" w:rsidRDefault="00577947" w:rsidP="00577947">
      <w:pPr>
        <w:rPr>
          <w:rFonts w:ascii="Arial" w:hAnsi="Arial" w:cs="Arial"/>
          <w:color w:val="000000"/>
          <w:szCs w:val="20"/>
          <w:lang w:val="pl-PL"/>
        </w:rPr>
      </w:pPr>
      <w:r w:rsidRPr="00577947">
        <w:rPr>
          <w:rFonts w:ascii="Arial" w:hAnsi="Arial" w:cs="Arial"/>
          <w:color w:val="000000"/>
          <w:szCs w:val="20"/>
          <w:lang w:val="pl-PL"/>
        </w:rPr>
        <w:t xml:space="preserve">3. Funkcja zdalnego uruchamiania dostępna w regionach, w których jest to dozwolone przez prawo. Kluczyk musi znajdować się wewnątrz pojazdu, aby umożliwić prowadzenie. </w:t>
      </w:r>
    </w:p>
    <w:p w14:paraId="45A07A63" w14:textId="77777777" w:rsidR="00577947" w:rsidRPr="00577947" w:rsidRDefault="00577947" w:rsidP="00577947">
      <w:pPr>
        <w:rPr>
          <w:rFonts w:ascii="Arial" w:hAnsi="Arial" w:cs="Arial"/>
          <w:szCs w:val="20"/>
          <w:lang w:val="pl-PL"/>
        </w:rPr>
      </w:pPr>
      <w:r w:rsidRPr="00577947">
        <w:rPr>
          <w:rFonts w:ascii="Arial" w:hAnsi="Arial" w:cs="Arial"/>
          <w:color w:val="000000"/>
          <w:szCs w:val="20"/>
          <w:lang w:val="pl-PL"/>
        </w:rPr>
        <w:t xml:space="preserve">4. </w:t>
      </w:r>
      <w:r w:rsidRPr="00577947">
        <w:rPr>
          <w:rFonts w:ascii="Arial" w:hAnsi="Arial" w:cs="Arial"/>
          <w:szCs w:val="20"/>
          <w:lang w:val="pl-PL"/>
        </w:rPr>
        <w:t>Deklarowane zużycie paliwa/zużycie energii, emisja CO</w:t>
      </w:r>
      <w:r w:rsidRPr="00577947">
        <w:rPr>
          <w:rFonts w:ascii="Arial" w:hAnsi="Arial" w:cs="Arial"/>
          <w:szCs w:val="20"/>
          <w:vertAlign w:val="subscript"/>
          <w:lang w:val="pl-PL"/>
        </w:rPr>
        <w:t>2</w:t>
      </w:r>
      <w:r w:rsidRPr="00577947">
        <w:rPr>
          <w:rFonts w:ascii="Arial" w:hAnsi="Arial" w:cs="Arial"/>
          <w:szCs w:val="20"/>
          <w:lang w:val="pl-PL"/>
        </w:rPr>
        <w:t xml:space="preserve"> i zasięg napędu elektrycznego mierzone są zgodnie z wymaganiami i specyfikacjami technicznymi regulaminów europejskich (WE) 715/2007 i (WE) 2017/1151 w aktualnym brzmieniu. Pojazdy dopuszczone do ruchu jako lekkie pojazdy dostawcze, które uzyskały homologację zgodną ze procedurą WLTP (Światową Zharmonizowaną Procedurą Testowania Pojazdów Lekkich), będą opatrzone informacjami na temat zużycia paliwa/energii i emisji CO</w:t>
      </w:r>
      <w:r w:rsidRPr="00577947">
        <w:rPr>
          <w:rFonts w:ascii="Arial" w:hAnsi="Arial" w:cs="Arial"/>
          <w:szCs w:val="20"/>
          <w:vertAlign w:val="subscript"/>
          <w:lang w:val="pl-PL"/>
        </w:rPr>
        <w:t>2</w:t>
      </w:r>
      <w:r w:rsidRPr="00577947">
        <w:rPr>
          <w:rFonts w:ascii="Arial" w:hAnsi="Arial" w:cs="Arial"/>
          <w:szCs w:val="20"/>
          <w:lang w:val="pl-PL"/>
        </w:rPr>
        <w:t xml:space="preserve"> według obu cykli: NEDC (Nowego Europejskiego Cyklu Jazdy) i WLTP. WLTP w pełni zastąpi NEDC najpóźniej do końca 2020 roku. Przyjęta obecnie procedura testowa pozwala na porównanie wyników uzyskanych przez różne typy pojazdów oraz różnych producentów. W okresie przejściowym odchodzenia od pomiarów w cyklu NEDC, zużycie paliwa i emisja CO</w:t>
      </w:r>
      <w:r w:rsidRPr="00577947">
        <w:rPr>
          <w:rFonts w:ascii="Arial" w:hAnsi="Arial" w:cs="Arial"/>
          <w:szCs w:val="20"/>
          <w:vertAlign w:val="subscript"/>
          <w:lang w:val="pl-PL"/>
        </w:rPr>
        <w:t>2</w:t>
      </w:r>
      <w:r w:rsidRPr="00577947">
        <w:rPr>
          <w:rFonts w:ascii="Arial" w:hAnsi="Arial" w:cs="Arial"/>
          <w:szCs w:val="20"/>
          <w:lang w:val="pl-PL"/>
        </w:rPr>
        <w:t xml:space="preserve"> są podawane zarówno w cyklu NEDC, jak i WLTP. Należy pamiętać, że nieuchronnie wystąpią różnice wyników otrzymanych według starej i nowej procedury testowej, zarówno co do zużycia paliwa, jak emisji CO</w:t>
      </w:r>
      <w:r w:rsidRPr="00577947">
        <w:rPr>
          <w:rFonts w:ascii="Arial" w:hAnsi="Arial" w:cs="Arial"/>
          <w:szCs w:val="20"/>
          <w:vertAlign w:val="subscript"/>
          <w:lang w:val="pl-PL"/>
        </w:rPr>
        <w:t>2</w:t>
      </w:r>
      <w:r w:rsidRPr="00577947">
        <w:rPr>
          <w:rFonts w:ascii="Arial" w:hAnsi="Arial" w:cs="Arial"/>
          <w:szCs w:val="20"/>
          <w:lang w:val="pl-PL"/>
        </w:rPr>
        <w:t>, ponieważ niektóre elementy testu uległy zmianie. Na przykład ten sam samochód może mieć inne zużycie paliwa i emisję CO2 mierzone według NEDC oraz WLPT.</w:t>
      </w:r>
    </w:p>
    <w:p w14:paraId="3883F6F1" w14:textId="77777777" w:rsidR="00577947" w:rsidRPr="00577947" w:rsidRDefault="00577947" w:rsidP="00577947">
      <w:pPr>
        <w:rPr>
          <w:rFonts w:ascii="Arial" w:hAnsi="Arial" w:cs="Arial"/>
          <w:szCs w:val="20"/>
          <w:lang w:val="pl-PL"/>
        </w:rPr>
      </w:pPr>
    </w:p>
    <w:tbl>
      <w:tblPr>
        <w:tblW w:w="95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61"/>
        <w:gridCol w:w="1563"/>
        <w:gridCol w:w="1563"/>
        <w:gridCol w:w="1563"/>
        <w:gridCol w:w="1563"/>
        <w:gridCol w:w="1573"/>
      </w:tblGrid>
      <w:tr w:rsidR="00577947" w:rsidRPr="00577947" w14:paraId="49E4E232" w14:textId="77777777" w:rsidTr="0057794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54043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b/>
                <w:bCs/>
                <w:szCs w:val="20"/>
                <w:lang w:val="pl-PL" w:bidi="hi-IN"/>
              </w:rPr>
              <w:t>Fiesta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9F1379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b/>
                <w:bCs/>
                <w:szCs w:val="20"/>
                <w:lang w:val="pl-PL" w:bidi="hi-IN"/>
              </w:rPr>
              <w:t>Maks. moc: (KM)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AC739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b/>
                <w:bCs/>
                <w:szCs w:val="20"/>
                <w:lang w:val="pl-PL" w:bidi="hi-IN"/>
              </w:rPr>
              <w:t>CO</w:t>
            </w:r>
            <w:r w:rsidRPr="00577947">
              <w:rPr>
                <w:rFonts w:ascii="Arial" w:hAnsi="Arial" w:cs="Arial"/>
                <w:b/>
                <w:bCs/>
                <w:szCs w:val="20"/>
                <w:vertAlign w:val="subscript"/>
                <w:lang w:val="pl-PL" w:bidi="hi-IN"/>
              </w:rPr>
              <w:t xml:space="preserve">2 </w:t>
            </w:r>
            <w:r w:rsidRPr="00577947">
              <w:rPr>
                <w:rFonts w:ascii="Arial" w:hAnsi="Arial" w:cs="Arial"/>
                <w:b/>
                <w:bCs/>
                <w:szCs w:val="20"/>
                <w:lang w:val="pl-PL" w:bidi="hi-IN"/>
              </w:rPr>
              <w:t>od</w:t>
            </w:r>
          </w:p>
          <w:p w14:paraId="1079AD60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b/>
                <w:bCs/>
                <w:szCs w:val="20"/>
                <w:lang w:val="pl-PL" w:bidi="hi-IN"/>
              </w:rPr>
              <w:t>(g/km wg NEDC)</w:t>
            </w:r>
          </w:p>
          <w:p w14:paraId="26FD0349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3BEF7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</w:p>
          <w:p w14:paraId="1A71F375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b/>
                <w:bCs/>
                <w:szCs w:val="20"/>
                <w:lang w:val="pl-PL" w:bidi="hi-IN"/>
              </w:rPr>
              <w:t xml:space="preserve">Zużycie paliwa od (l/100 km NEDC) </w:t>
            </w:r>
          </w:p>
          <w:p w14:paraId="20958E4C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0B554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</w:p>
          <w:p w14:paraId="78B9286F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b/>
                <w:bCs/>
                <w:szCs w:val="20"/>
                <w:lang w:val="pl-PL" w:bidi="hi-IN"/>
              </w:rPr>
              <w:t>CO</w:t>
            </w:r>
            <w:r w:rsidRPr="00577947">
              <w:rPr>
                <w:rFonts w:ascii="Arial" w:hAnsi="Arial" w:cs="Arial"/>
                <w:b/>
                <w:bCs/>
                <w:szCs w:val="20"/>
                <w:vertAlign w:val="subscript"/>
                <w:lang w:val="pl-PL" w:bidi="hi-IN"/>
              </w:rPr>
              <w:t>2</w:t>
            </w:r>
            <w:r w:rsidRPr="00577947">
              <w:rPr>
                <w:rFonts w:ascii="Arial" w:hAnsi="Arial" w:cs="Arial"/>
                <w:b/>
                <w:bCs/>
                <w:szCs w:val="20"/>
                <w:lang w:val="pl-PL" w:bidi="hi-IN"/>
              </w:rPr>
              <w:t xml:space="preserve"> od (g/km WLTP)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311E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</w:p>
          <w:p w14:paraId="2FD64369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b/>
                <w:bCs/>
                <w:szCs w:val="20"/>
                <w:lang w:val="pl-PL" w:bidi="hi-IN"/>
              </w:rPr>
              <w:t>Zużycie paliwa od (l/100 km WLTP)</w:t>
            </w:r>
          </w:p>
        </w:tc>
      </w:tr>
      <w:tr w:rsidR="00577947" w:rsidRPr="00577947" w14:paraId="36A8F485" w14:textId="77777777" w:rsidTr="0057794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663D7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szCs w:val="20"/>
                <w:lang w:val="pl-PL" w:bidi="hi-IN"/>
              </w:rPr>
              <w:t xml:space="preserve">1.0-litra </w:t>
            </w:r>
            <w:proofErr w:type="spellStart"/>
            <w:r w:rsidRPr="00577947">
              <w:rPr>
                <w:rFonts w:ascii="Arial" w:hAnsi="Arial" w:cs="Arial"/>
                <w:szCs w:val="20"/>
                <w:lang w:val="pl-PL" w:bidi="hi-IN"/>
              </w:rPr>
              <w:t>EcoBoost</w:t>
            </w:r>
            <w:proofErr w:type="spellEnd"/>
            <w:r w:rsidRPr="00577947">
              <w:rPr>
                <w:rFonts w:ascii="Arial" w:hAnsi="Arial" w:cs="Arial"/>
                <w:szCs w:val="20"/>
                <w:lang w:val="pl-PL" w:bidi="hi-IN"/>
              </w:rPr>
              <w:br/>
              <w:t>7-biegowa skrzynia automatyczna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F11A7B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szCs w:val="20"/>
                <w:lang w:val="pl-PL" w:bidi="hi-IN"/>
              </w:rPr>
              <w:t>125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19F65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szCs w:val="20"/>
                <w:lang w:val="pl-PL" w:bidi="hi-IN"/>
              </w:rPr>
              <w:t>104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9CE72C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szCs w:val="20"/>
                <w:lang w:val="pl-PL" w:bidi="hi-IN"/>
              </w:rPr>
              <w:t>4.6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D31AB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szCs w:val="20"/>
                <w:lang w:val="pl-PL" w:bidi="hi-IN"/>
              </w:rPr>
              <w:t>127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726D2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szCs w:val="20"/>
                <w:lang w:val="pl-PL" w:bidi="hi-IN"/>
              </w:rPr>
              <w:t>5.6</w:t>
            </w:r>
          </w:p>
        </w:tc>
      </w:tr>
    </w:tbl>
    <w:p w14:paraId="0AB96EEE" w14:textId="77777777" w:rsidR="00577947" w:rsidRPr="00577947" w:rsidRDefault="00577947" w:rsidP="00577947">
      <w:pPr>
        <w:rPr>
          <w:rFonts w:ascii="Arial" w:hAnsi="Arial" w:cs="Arial"/>
          <w:szCs w:val="20"/>
          <w:lang w:val="pl-PL"/>
        </w:rPr>
      </w:pPr>
    </w:p>
    <w:tbl>
      <w:tblPr>
        <w:tblW w:w="95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61"/>
        <w:gridCol w:w="1563"/>
        <w:gridCol w:w="1563"/>
        <w:gridCol w:w="1563"/>
        <w:gridCol w:w="1563"/>
        <w:gridCol w:w="1573"/>
      </w:tblGrid>
      <w:tr w:rsidR="00577947" w:rsidRPr="00577947" w14:paraId="4C9729E0" w14:textId="77777777" w:rsidTr="0057794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E1676C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b/>
                <w:bCs/>
                <w:szCs w:val="20"/>
                <w:lang w:val="pl-PL" w:bidi="hi-IN"/>
              </w:rPr>
              <w:t>Puma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494E3D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b/>
                <w:bCs/>
                <w:szCs w:val="20"/>
                <w:lang w:val="pl-PL" w:bidi="hi-IN"/>
              </w:rPr>
              <w:t>Maks. moc: (KM)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B2FE2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b/>
                <w:bCs/>
                <w:szCs w:val="20"/>
                <w:lang w:val="pl-PL" w:bidi="hi-IN"/>
              </w:rPr>
              <w:t>CO</w:t>
            </w:r>
            <w:r w:rsidRPr="00577947">
              <w:rPr>
                <w:rFonts w:ascii="Arial" w:hAnsi="Arial" w:cs="Arial"/>
                <w:b/>
                <w:bCs/>
                <w:szCs w:val="20"/>
                <w:vertAlign w:val="subscript"/>
                <w:lang w:val="pl-PL" w:bidi="hi-IN"/>
              </w:rPr>
              <w:t xml:space="preserve">2 </w:t>
            </w:r>
            <w:r w:rsidRPr="00577947">
              <w:rPr>
                <w:rFonts w:ascii="Arial" w:hAnsi="Arial" w:cs="Arial"/>
                <w:b/>
                <w:bCs/>
                <w:szCs w:val="20"/>
                <w:lang w:val="pl-PL" w:bidi="hi-IN"/>
              </w:rPr>
              <w:t>od</w:t>
            </w:r>
          </w:p>
          <w:p w14:paraId="4A78D402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b/>
                <w:bCs/>
                <w:szCs w:val="20"/>
                <w:lang w:val="pl-PL" w:bidi="hi-IN"/>
              </w:rPr>
              <w:t>(g/km wg NEDC)</w:t>
            </w:r>
          </w:p>
          <w:p w14:paraId="186A2194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6DDDE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</w:p>
          <w:p w14:paraId="48CA62D7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b/>
                <w:bCs/>
                <w:szCs w:val="20"/>
                <w:lang w:val="pl-PL" w:bidi="hi-IN"/>
              </w:rPr>
              <w:t xml:space="preserve">Zużycie paliwa od (l/100 km NEDC) </w:t>
            </w:r>
          </w:p>
          <w:p w14:paraId="173EC01A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C71CC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</w:p>
          <w:p w14:paraId="3E867C78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b/>
                <w:bCs/>
                <w:szCs w:val="20"/>
                <w:lang w:val="pl-PL" w:bidi="hi-IN"/>
              </w:rPr>
              <w:t>CO</w:t>
            </w:r>
            <w:r w:rsidRPr="00577947">
              <w:rPr>
                <w:rFonts w:ascii="Arial" w:hAnsi="Arial" w:cs="Arial"/>
                <w:b/>
                <w:bCs/>
                <w:szCs w:val="20"/>
                <w:vertAlign w:val="subscript"/>
                <w:lang w:val="pl-PL" w:bidi="hi-IN"/>
              </w:rPr>
              <w:t>2</w:t>
            </w:r>
            <w:r w:rsidRPr="00577947">
              <w:rPr>
                <w:rFonts w:ascii="Arial" w:hAnsi="Arial" w:cs="Arial"/>
                <w:b/>
                <w:bCs/>
                <w:szCs w:val="20"/>
                <w:lang w:val="pl-PL" w:bidi="hi-IN"/>
              </w:rPr>
              <w:t xml:space="preserve"> od (g/km WLTP)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EDDF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</w:p>
          <w:p w14:paraId="6FEF5B86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b/>
                <w:bCs/>
                <w:szCs w:val="20"/>
                <w:lang w:val="pl-PL" w:bidi="hi-IN"/>
              </w:rPr>
              <w:t>Zużycie paliwa od (l/100 km WLTP)</w:t>
            </w:r>
          </w:p>
        </w:tc>
      </w:tr>
      <w:tr w:rsidR="00577947" w:rsidRPr="00577947" w14:paraId="5963A6F2" w14:textId="77777777" w:rsidTr="00577947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E5C80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szCs w:val="20"/>
                <w:lang w:val="pl-PL" w:bidi="hi-IN"/>
              </w:rPr>
              <w:t xml:space="preserve">1.0-litra </w:t>
            </w:r>
            <w:proofErr w:type="spellStart"/>
            <w:r w:rsidRPr="00577947">
              <w:rPr>
                <w:rFonts w:ascii="Arial" w:hAnsi="Arial" w:cs="Arial"/>
                <w:szCs w:val="20"/>
                <w:lang w:val="pl-PL" w:bidi="hi-IN"/>
              </w:rPr>
              <w:t>EcoBoost</w:t>
            </w:r>
            <w:proofErr w:type="spellEnd"/>
            <w:r w:rsidRPr="00577947">
              <w:rPr>
                <w:rFonts w:ascii="Arial" w:hAnsi="Arial" w:cs="Arial"/>
                <w:szCs w:val="20"/>
                <w:lang w:val="pl-PL" w:bidi="hi-IN"/>
              </w:rPr>
              <w:br/>
              <w:t>7-biegowa skrzynia automatyczna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9F8A72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szCs w:val="20"/>
                <w:lang w:val="pl-PL" w:bidi="hi-IN"/>
              </w:rPr>
              <w:t>125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EF921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szCs w:val="20"/>
                <w:lang w:val="pl-PL" w:bidi="hi-IN"/>
              </w:rPr>
              <w:t>110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F825EE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szCs w:val="20"/>
                <w:lang w:val="pl-PL" w:bidi="hi-IN"/>
              </w:rPr>
              <w:t>4.9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D3E51E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szCs w:val="20"/>
                <w:lang w:val="pl-PL" w:bidi="hi-IN"/>
              </w:rPr>
              <w:t>137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97894" w14:textId="77777777" w:rsidR="00577947" w:rsidRPr="00577947" w:rsidRDefault="00577947" w:rsidP="00577947">
            <w:pPr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jc w:val="center"/>
              <w:rPr>
                <w:rFonts w:ascii="Arial" w:hAnsi="Arial" w:cs="Arial"/>
                <w:szCs w:val="20"/>
                <w:lang w:val="pl-PL" w:bidi="hi-IN"/>
              </w:rPr>
            </w:pPr>
            <w:r w:rsidRPr="00577947">
              <w:rPr>
                <w:rFonts w:ascii="Arial" w:hAnsi="Arial" w:cs="Arial"/>
                <w:szCs w:val="20"/>
                <w:lang w:val="pl-PL" w:bidi="hi-IN"/>
              </w:rPr>
              <w:t>6.0</w:t>
            </w:r>
          </w:p>
        </w:tc>
      </w:tr>
    </w:tbl>
    <w:p w14:paraId="5F088261" w14:textId="77777777" w:rsidR="00577947" w:rsidRPr="00577947" w:rsidRDefault="00577947" w:rsidP="00577947">
      <w:pPr>
        <w:jc w:val="center"/>
        <w:rPr>
          <w:rFonts w:ascii="Arial" w:hAnsi="Arial" w:cs="Arial"/>
          <w:szCs w:val="20"/>
          <w:lang w:val="pl-PL"/>
        </w:rPr>
      </w:pPr>
    </w:p>
    <w:p w14:paraId="647EB5BA" w14:textId="77777777" w:rsidR="00577947" w:rsidRPr="00577947" w:rsidRDefault="00577947" w:rsidP="00577947">
      <w:pPr>
        <w:rPr>
          <w:rFonts w:ascii="Arial" w:hAnsi="Arial" w:cs="Arial"/>
          <w:b/>
          <w:bCs/>
          <w:i/>
          <w:szCs w:val="20"/>
          <w:lang w:val="pl-PL"/>
        </w:rPr>
      </w:pPr>
      <w:r w:rsidRPr="00577947">
        <w:rPr>
          <w:rFonts w:ascii="Arial" w:hAnsi="Arial" w:cs="Arial"/>
          <w:b/>
          <w:bCs/>
          <w:i/>
          <w:szCs w:val="20"/>
          <w:lang w:val="pl-PL"/>
        </w:rPr>
        <w:t>O Ford Motor Company</w:t>
      </w:r>
    </w:p>
    <w:p w14:paraId="6C0E8F63" w14:textId="77777777" w:rsidR="00577947" w:rsidRPr="00577947" w:rsidRDefault="00577947" w:rsidP="00577947">
      <w:pPr>
        <w:rPr>
          <w:rFonts w:ascii="Arial" w:hAnsi="Arial" w:cs="Arial"/>
          <w:i/>
          <w:iCs/>
          <w:color w:val="1F497D"/>
          <w:szCs w:val="20"/>
          <w:lang w:val="pl-PL"/>
        </w:rPr>
      </w:pPr>
      <w:r w:rsidRPr="00577947">
        <w:rPr>
          <w:rFonts w:ascii="Arial" w:hAnsi="Arial" w:cs="Arial"/>
          <w:i/>
          <w:iCs/>
          <w:szCs w:val="20"/>
          <w:lang w:val="pl-PL"/>
        </w:rPr>
        <w:t xml:space="preserve">Ford Motor Company z centralą w </w:t>
      </w:r>
      <w:proofErr w:type="spellStart"/>
      <w:r w:rsidRPr="00577947">
        <w:rPr>
          <w:rFonts w:ascii="Arial" w:hAnsi="Arial" w:cs="Arial"/>
          <w:i/>
          <w:iCs/>
          <w:szCs w:val="20"/>
          <w:lang w:val="pl-PL"/>
        </w:rPr>
        <w:t>Dearborn</w:t>
      </w:r>
      <w:proofErr w:type="spellEnd"/>
      <w:r w:rsidRPr="00577947">
        <w:rPr>
          <w:rFonts w:ascii="Arial" w:hAnsi="Arial" w:cs="Arial"/>
          <w:i/>
          <w:iCs/>
          <w:szCs w:val="20"/>
          <w:lang w:val="pl-PL"/>
        </w:rPr>
        <w:t xml:space="preserve"> w stanie Michigan w USA jest globalną marką oferującą samochody i usługi mobilne. Firma zatrudnia około 188 tys. pracowników w zakładach na całym świecie, </w:t>
      </w:r>
      <w:r w:rsidRPr="00577947">
        <w:rPr>
          <w:rFonts w:ascii="Arial" w:hAnsi="Arial" w:cs="Arial"/>
          <w:i/>
          <w:iCs/>
          <w:szCs w:val="20"/>
          <w:lang w:val="pl-PL"/>
        </w:rPr>
        <w:lastRenderedPageBreak/>
        <w:t xml:space="preserve">zajmując się projektowaniem, produkcją, marketingiem, finansowaniem i serwisowaniem całej gamy samochodów osobowych, użytkowych oraz SUV-ów marki Ford i luksusowej marki Lincoln. Rozszerzając swoją działalność, Ford umacnia pozycję lidera w dziedzinie elektryfikacji pojazdów, inwestuje w rozwój mobilności, systemy autonomicznej jazdy oraz usługi dla pojazdów skomunikowanych. Firma świadczy usługi finansowe za pośrednictwem Ford Motor </w:t>
      </w:r>
      <w:proofErr w:type="spellStart"/>
      <w:r w:rsidRPr="00577947"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 w:rsidRPr="00577947">
        <w:rPr>
          <w:rFonts w:ascii="Arial" w:hAnsi="Arial" w:cs="Arial"/>
          <w:i/>
          <w:iCs/>
          <w:szCs w:val="20"/>
          <w:lang w:val="pl-PL"/>
        </w:rPr>
        <w:t xml:space="preserve"> Company. Więcej informacji na temat Forda, produktów firmy oraz oddziału Ford Motor </w:t>
      </w:r>
      <w:proofErr w:type="spellStart"/>
      <w:r w:rsidRPr="00577947"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 w:rsidRPr="00577947">
        <w:rPr>
          <w:rFonts w:ascii="Arial" w:hAnsi="Arial" w:cs="Arial"/>
          <w:i/>
          <w:iCs/>
          <w:szCs w:val="20"/>
          <w:lang w:val="pl-PL"/>
        </w:rPr>
        <w:t xml:space="preserve"> Company na stronie </w:t>
      </w:r>
      <w:hyperlink r:id="rId12" w:history="1">
        <w:r w:rsidRPr="00577947">
          <w:rPr>
            <w:rFonts w:ascii="Arial" w:hAnsi="Arial" w:cs="Arial"/>
            <w:i/>
            <w:iCs/>
            <w:color w:val="0000FF"/>
            <w:szCs w:val="20"/>
            <w:u w:val="single"/>
            <w:lang w:val="pl-PL"/>
          </w:rPr>
          <w:t>www.corporate.ford.com</w:t>
        </w:r>
      </w:hyperlink>
      <w:r w:rsidRPr="00577947">
        <w:rPr>
          <w:rFonts w:ascii="Arial" w:hAnsi="Arial" w:cs="Arial"/>
          <w:i/>
          <w:iCs/>
          <w:color w:val="1F497D"/>
          <w:szCs w:val="20"/>
          <w:lang w:val="pl-PL"/>
        </w:rPr>
        <w:t xml:space="preserve">. </w:t>
      </w:r>
    </w:p>
    <w:p w14:paraId="059FBB9C" w14:textId="77777777" w:rsidR="00577947" w:rsidRPr="00577947" w:rsidRDefault="00577947" w:rsidP="00577947">
      <w:pPr>
        <w:autoSpaceDE w:val="0"/>
        <w:rPr>
          <w:rFonts w:ascii="Arial" w:hAnsi="Arial" w:cs="Arial"/>
          <w:i/>
          <w:iCs/>
          <w:color w:val="1F497D"/>
          <w:szCs w:val="20"/>
          <w:lang w:val="pl-PL"/>
        </w:rPr>
      </w:pPr>
    </w:p>
    <w:p w14:paraId="5BECFFD9" w14:textId="77777777" w:rsidR="00577947" w:rsidRPr="00577947" w:rsidRDefault="00577947" w:rsidP="00577947">
      <w:pPr>
        <w:rPr>
          <w:rFonts w:ascii="Arial" w:hAnsi="Arial" w:cs="Arial"/>
          <w:szCs w:val="20"/>
          <w:lang w:val="pl-PL"/>
        </w:rPr>
      </w:pPr>
      <w:r w:rsidRPr="00577947">
        <w:rPr>
          <w:rFonts w:ascii="Arial" w:hAnsi="Arial" w:cs="Arial"/>
          <w:b/>
          <w:bCs/>
          <w:i/>
          <w:iCs/>
          <w:szCs w:val="20"/>
          <w:lang w:val="pl-PL"/>
        </w:rPr>
        <w:t>Ford of Europe</w:t>
      </w:r>
      <w:r w:rsidRPr="00577947">
        <w:rPr>
          <w:rFonts w:ascii="Arial" w:hAnsi="Arial" w:cs="Arial"/>
          <w:i/>
          <w:iCs/>
          <w:szCs w:val="20"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 w:rsidRPr="00577947"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 w:rsidRPr="00577947">
        <w:rPr>
          <w:rFonts w:ascii="Arial" w:hAnsi="Arial" w:cs="Arial"/>
          <w:i/>
          <w:iCs/>
          <w:szCs w:val="20"/>
          <w:lang w:val="pl-PL"/>
        </w:rPr>
        <w:t xml:space="preserve"> Company, usługi firmy Ford of Europe obejmują dział Ford </w:t>
      </w:r>
      <w:proofErr w:type="spellStart"/>
      <w:r w:rsidRPr="00577947">
        <w:rPr>
          <w:rFonts w:ascii="Arial" w:hAnsi="Arial" w:cs="Arial"/>
          <w:i/>
          <w:iCs/>
          <w:szCs w:val="20"/>
          <w:lang w:val="pl-PL"/>
        </w:rPr>
        <w:t>Customer</w:t>
      </w:r>
      <w:proofErr w:type="spellEnd"/>
      <w:r w:rsidRPr="00577947">
        <w:rPr>
          <w:rFonts w:ascii="Arial" w:hAnsi="Arial" w:cs="Arial"/>
          <w:i/>
          <w:iCs/>
          <w:szCs w:val="20"/>
          <w:lang w:val="pl-PL"/>
        </w:rPr>
        <w:t xml:space="preserve"> Service </w:t>
      </w:r>
      <w:proofErr w:type="spellStart"/>
      <w:r w:rsidRPr="00577947">
        <w:rPr>
          <w:rFonts w:ascii="Arial" w:hAnsi="Arial" w:cs="Arial"/>
          <w:i/>
          <w:iCs/>
          <w:szCs w:val="20"/>
          <w:lang w:val="pl-PL"/>
        </w:rPr>
        <w:t>Division</w:t>
      </w:r>
      <w:proofErr w:type="spellEnd"/>
      <w:r w:rsidRPr="00577947">
        <w:rPr>
          <w:rFonts w:ascii="Arial" w:hAnsi="Arial" w:cs="Arial"/>
          <w:i/>
          <w:iCs/>
          <w:szCs w:val="20"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20202B" w14:textId="77777777" w:rsidR="00577947" w:rsidRPr="00577947" w:rsidRDefault="00577947" w:rsidP="00577947">
      <w:pPr>
        <w:autoSpaceDE w:val="0"/>
        <w:rPr>
          <w:rFonts w:ascii="Arial" w:hAnsi="Arial" w:cs="Arial"/>
          <w:i/>
          <w:szCs w:val="20"/>
          <w:lang w:val="pl-PL"/>
        </w:rPr>
      </w:pPr>
    </w:p>
    <w:p w14:paraId="20351ABA" w14:textId="23D3571F" w:rsidR="007E6E43" w:rsidRDefault="007E6E43" w:rsidP="007E6E43">
      <w:pPr>
        <w:rPr>
          <w:rFonts w:ascii="Arial" w:hAnsi="Arial" w:cs="Arial"/>
          <w:i/>
          <w:sz w:val="22"/>
          <w:szCs w:val="22"/>
          <w:lang w:val="pl-PL"/>
        </w:rPr>
      </w:pPr>
    </w:p>
    <w:p w14:paraId="7DC21381" w14:textId="77777777" w:rsidR="00801723" w:rsidRDefault="00801723" w:rsidP="007E6E43">
      <w:pPr>
        <w:rPr>
          <w:rFonts w:ascii="Arial" w:hAnsi="Arial" w:cs="Arial"/>
          <w:i/>
          <w:sz w:val="22"/>
          <w:szCs w:val="22"/>
          <w:lang w:val="pl-PL"/>
        </w:rPr>
      </w:pPr>
    </w:p>
    <w:p w14:paraId="1FEE3F75" w14:textId="77777777" w:rsidR="00EC0B39" w:rsidRPr="00E84632" w:rsidRDefault="00EC0B39" w:rsidP="00EC0B39">
      <w:pPr>
        <w:pStyle w:val="NormalWeb"/>
        <w:shd w:val="clear" w:color="auto" w:fill="FFFFFF"/>
        <w:spacing w:before="0" w:after="150"/>
        <w:rPr>
          <w:lang w:val="pl-PL"/>
        </w:rPr>
      </w:pP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  <w:t>###</w:t>
      </w:r>
    </w:p>
    <w:p w14:paraId="120528E0" w14:textId="19733480" w:rsidR="00EC0B39" w:rsidRDefault="00EC0B39" w:rsidP="00EC0B39">
      <w:pPr>
        <w:rPr>
          <w:rFonts w:ascii="Arial" w:hAnsi="Arial" w:cs="Arial"/>
          <w:color w:val="333333"/>
          <w:sz w:val="21"/>
          <w:szCs w:val="20"/>
          <w:lang w:val="pl-PL"/>
        </w:rPr>
      </w:pPr>
    </w:p>
    <w:p w14:paraId="73B1D70E" w14:textId="77777777" w:rsidR="00801723" w:rsidRPr="00E84632" w:rsidRDefault="00801723" w:rsidP="00EC0B39">
      <w:pPr>
        <w:rPr>
          <w:rFonts w:ascii="Arial" w:hAnsi="Arial" w:cs="Arial"/>
          <w:color w:val="333333"/>
          <w:sz w:val="21"/>
          <w:szCs w:val="20"/>
          <w:lang w:val="pl-P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20"/>
        <w:gridCol w:w="3151"/>
        <w:gridCol w:w="240"/>
      </w:tblGrid>
      <w:tr w:rsidR="007A3385" w:rsidRPr="00E84632" w14:paraId="17F79621" w14:textId="77777777" w:rsidTr="00544E94">
        <w:tc>
          <w:tcPr>
            <w:tcW w:w="1320" w:type="dxa"/>
          </w:tcPr>
          <w:bookmarkEnd w:id="0"/>
          <w:p w14:paraId="61EAB86D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Kontakt:</w:t>
            </w:r>
          </w:p>
        </w:tc>
        <w:tc>
          <w:tcPr>
            <w:tcW w:w="3151" w:type="dxa"/>
          </w:tcPr>
          <w:p w14:paraId="04B20B56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>Mariusz Jasiński</w:t>
            </w:r>
          </w:p>
        </w:tc>
        <w:tc>
          <w:tcPr>
            <w:tcW w:w="240" w:type="dxa"/>
          </w:tcPr>
          <w:p w14:paraId="3D699EA3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577947" w14:paraId="64A7CA37" w14:textId="77777777" w:rsidTr="00544E94">
        <w:tc>
          <w:tcPr>
            <w:tcW w:w="1320" w:type="dxa"/>
          </w:tcPr>
          <w:p w14:paraId="10472B56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15563053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Ford Polska Sp. z o.o.  </w:t>
            </w:r>
          </w:p>
        </w:tc>
        <w:tc>
          <w:tcPr>
            <w:tcW w:w="240" w:type="dxa"/>
          </w:tcPr>
          <w:p w14:paraId="2688AED4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E84632" w14:paraId="37A5BC18" w14:textId="77777777" w:rsidTr="00544E94">
        <w:tc>
          <w:tcPr>
            <w:tcW w:w="1320" w:type="dxa"/>
          </w:tcPr>
          <w:p w14:paraId="14057999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31169F5A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(22) 6086815   </w:t>
            </w:r>
          </w:p>
        </w:tc>
        <w:tc>
          <w:tcPr>
            <w:tcW w:w="240" w:type="dxa"/>
          </w:tcPr>
          <w:p w14:paraId="4BEBFF16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</w:tbl>
    <w:p w14:paraId="6C2DBB09" w14:textId="77777777" w:rsidR="007A3385" w:rsidRPr="00354862" w:rsidRDefault="007A3385" w:rsidP="00354862">
      <w:pPr>
        <w:ind w:left="720" w:firstLine="720"/>
        <w:rPr>
          <w:rFonts w:ascii="Arial" w:hAnsi="Arial" w:cs="Arial"/>
          <w:i/>
          <w:sz w:val="22"/>
          <w:szCs w:val="22"/>
          <w:lang w:val="pl-PL"/>
        </w:rPr>
      </w:pPr>
      <w:r w:rsidRPr="00E84632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p w14:paraId="316D2BB3" w14:textId="77777777" w:rsidR="0078699F" w:rsidRDefault="0078699F">
      <w:pPr>
        <w:autoSpaceDE w:val="0"/>
        <w:rPr>
          <w:rFonts w:ascii="Arial" w:hAnsi="Arial" w:cs="Arial"/>
          <w:i/>
          <w:sz w:val="22"/>
          <w:szCs w:val="22"/>
          <w:lang w:val="pl-PL"/>
        </w:rPr>
      </w:pPr>
    </w:p>
    <w:sectPr w:rsidR="0078699F">
      <w:footerReference w:type="default" r:id="rId13"/>
      <w:headerReference w:type="first" r:id="rId14"/>
      <w:footerReference w:type="first" r:id="rId15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C45B1" w14:textId="77777777" w:rsidR="008101F2" w:rsidRDefault="008101F2">
      <w:r>
        <w:separator/>
      </w:r>
    </w:p>
  </w:endnote>
  <w:endnote w:type="continuationSeparator" w:id="0">
    <w:p w14:paraId="3AB55660" w14:textId="77777777" w:rsidR="008101F2" w:rsidRDefault="0081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charset w:val="01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577947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"/>
      <w:jc w:val="center"/>
      <w:rPr>
        <w:lang w:val="pl-PL"/>
      </w:rPr>
    </w:pPr>
  </w:p>
  <w:p w14:paraId="2B28129B" w14:textId="77777777" w:rsidR="0078699F" w:rsidRDefault="0078699F">
    <w:pPr>
      <w:pStyle w:val="Stopka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8101F2">
      <w:fldChar w:fldCharType="begin"/>
    </w:r>
    <w:r w:rsidR="008101F2" w:rsidRPr="00577947">
      <w:rPr>
        <w:lang w:val="pl-PL"/>
      </w:rPr>
      <w:instrText xml:space="preserve"> HYPERLINK "http://www.fordmedia.eu/" \h </w:instrText>
    </w:r>
    <w:r w:rsidR="008101F2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8101F2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F7A08" w14:textId="77777777" w:rsidR="008101F2" w:rsidRDefault="008101F2">
      <w:r>
        <w:separator/>
      </w:r>
    </w:p>
  </w:footnote>
  <w:footnote w:type="continuationSeparator" w:id="0">
    <w:p w14:paraId="19581ADE" w14:textId="77777777" w:rsidR="008101F2" w:rsidRDefault="0081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45A3E61C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77777777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77777777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Yy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NAUGMt4CAAAkBgAADgAAAAAAAAAAAAAAAAAuAgAAZHJzL2Uyb0Rv&#10;Yy54bWxQSwECLQAUAAYACAAAACEA7LNgid8AAAAIAQAADwAAAAAAAAAAAAAAAAA4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3A28DEF4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BFF8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Prasowa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7E2"/>
    <w:multiLevelType w:val="multilevel"/>
    <w:tmpl w:val="D390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60556"/>
    <w:multiLevelType w:val="multilevel"/>
    <w:tmpl w:val="A888E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2373E9"/>
    <w:multiLevelType w:val="multilevel"/>
    <w:tmpl w:val="FB2215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5444E"/>
    <w:multiLevelType w:val="multilevel"/>
    <w:tmpl w:val="5510A9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8E4929"/>
    <w:multiLevelType w:val="multilevel"/>
    <w:tmpl w:val="C1FC8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145470D"/>
    <w:multiLevelType w:val="multilevel"/>
    <w:tmpl w:val="FB905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C9077F"/>
    <w:multiLevelType w:val="multilevel"/>
    <w:tmpl w:val="922E6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2E1629"/>
    <w:multiLevelType w:val="multilevel"/>
    <w:tmpl w:val="D4C41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8D1EBD"/>
    <w:multiLevelType w:val="multilevel"/>
    <w:tmpl w:val="E3422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7C54C1"/>
    <w:multiLevelType w:val="multilevel"/>
    <w:tmpl w:val="5FACB2A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E711811"/>
    <w:multiLevelType w:val="multilevel"/>
    <w:tmpl w:val="13B46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0B03E7D"/>
    <w:multiLevelType w:val="multilevel"/>
    <w:tmpl w:val="08305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A431C8"/>
    <w:multiLevelType w:val="multilevel"/>
    <w:tmpl w:val="F3E8A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C36E52"/>
    <w:multiLevelType w:val="hybridMultilevel"/>
    <w:tmpl w:val="0916E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18270F"/>
    <w:multiLevelType w:val="multilevel"/>
    <w:tmpl w:val="251AB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301590E"/>
    <w:multiLevelType w:val="multilevel"/>
    <w:tmpl w:val="78F82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50D6F2D"/>
    <w:multiLevelType w:val="multilevel"/>
    <w:tmpl w:val="CCA80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65941BD"/>
    <w:multiLevelType w:val="multilevel"/>
    <w:tmpl w:val="4D925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27263B1"/>
    <w:multiLevelType w:val="multilevel"/>
    <w:tmpl w:val="B47C8A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2811A89"/>
    <w:multiLevelType w:val="multilevel"/>
    <w:tmpl w:val="625C0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75D7140"/>
    <w:multiLevelType w:val="multilevel"/>
    <w:tmpl w:val="F874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eastAsia="en-GB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eastAsia="en-GB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eastAsia="en-GB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eastAsia="en-GB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eastAsia="en-GB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2"/>
        <w:szCs w:val="22"/>
        <w:lang w:eastAsia="en-GB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  <w:lang w:eastAsia="en-GB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2"/>
        <w:szCs w:val="22"/>
        <w:lang w:eastAsia="en-GB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2"/>
        <w:szCs w:val="22"/>
        <w:lang w:eastAsia="en-GB"/>
      </w:rPr>
    </w:lvl>
  </w:abstractNum>
  <w:abstractNum w:abstractNumId="21" w15:restartNumberingAfterBreak="0">
    <w:nsid w:val="48D311BE"/>
    <w:multiLevelType w:val="multilevel"/>
    <w:tmpl w:val="B208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B3575A0"/>
    <w:multiLevelType w:val="multilevel"/>
    <w:tmpl w:val="8E5CC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7F62A7"/>
    <w:multiLevelType w:val="multilevel"/>
    <w:tmpl w:val="F89E6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0DB1CB1"/>
    <w:multiLevelType w:val="multilevel"/>
    <w:tmpl w:val="D0DC2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1766E75"/>
    <w:multiLevelType w:val="multilevel"/>
    <w:tmpl w:val="9AE0F8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19D4A35"/>
    <w:multiLevelType w:val="multilevel"/>
    <w:tmpl w:val="491AE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33018C9"/>
    <w:multiLevelType w:val="multilevel"/>
    <w:tmpl w:val="0F78C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BE662C1"/>
    <w:multiLevelType w:val="multilevel"/>
    <w:tmpl w:val="BF407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D9708F0"/>
    <w:multiLevelType w:val="multilevel"/>
    <w:tmpl w:val="3872FF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4558BC"/>
    <w:multiLevelType w:val="multilevel"/>
    <w:tmpl w:val="BDB69E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1DB1F69"/>
    <w:multiLevelType w:val="multilevel"/>
    <w:tmpl w:val="544C6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CB74152"/>
    <w:multiLevelType w:val="multilevel"/>
    <w:tmpl w:val="49A838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EF41CC1"/>
    <w:multiLevelType w:val="multilevel"/>
    <w:tmpl w:val="99700D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FFD5F52"/>
    <w:multiLevelType w:val="multilevel"/>
    <w:tmpl w:val="34E0FA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8"/>
  </w:num>
  <w:num w:numId="12">
    <w:abstractNumId w:val="29"/>
  </w:num>
  <w:num w:numId="13">
    <w:abstractNumId w:val="22"/>
  </w:num>
  <w:num w:numId="14">
    <w:abstractNumId w:val="3"/>
  </w:num>
  <w:num w:numId="15">
    <w:abstractNumId w:val="34"/>
  </w:num>
  <w:num w:numId="16">
    <w:abstractNumId w:val="8"/>
  </w:num>
  <w:num w:numId="17">
    <w:abstractNumId w:val="5"/>
  </w:num>
  <w:num w:numId="18">
    <w:abstractNumId w:val="11"/>
  </w:num>
  <w:num w:numId="19">
    <w:abstractNumId w:val="31"/>
  </w:num>
  <w:num w:numId="20">
    <w:abstractNumId w:val="33"/>
  </w:num>
  <w:num w:numId="21">
    <w:abstractNumId w:val="17"/>
  </w:num>
  <w:num w:numId="22">
    <w:abstractNumId w:val="21"/>
  </w:num>
  <w:num w:numId="23">
    <w:abstractNumId w:val="12"/>
  </w:num>
  <w:num w:numId="24">
    <w:abstractNumId w:val="7"/>
  </w:num>
  <w:num w:numId="25">
    <w:abstractNumId w:val="6"/>
  </w:num>
  <w:num w:numId="26">
    <w:abstractNumId w:val="23"/>
  </w:num>
  <w:num w:numId="27">
    <w:abstractNumId w:val="24"/>
  </w:num>
  <w:num w:numId="28">
    <w:abstractNumId w:val="25"/>
  </w:num>
  <w:num w:numId="29">
    <w:abstractNumId w:val="10"/>
  </w:num>
  <w:num w:numId="30">
    <w:abstractNumId w:val="13"/>
  </w:num>
  <w:num w:numId="31">
    <w:abstractNumId w:val="4"/>
  </w:num>
  <w:num w:numId="32">
    <w:abstractNumId w:val="18"/>
  </w:num>
  <w:num w:numId="33">
    <w:abstractNumId w:val="1"/>
  </w:num>
  <w:num w:numId="34">
    <w:abstractNumId w:val="2"/>
  </w:num>
  <w:num w:numId="3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6720E"/>
    <w:rsid w:val="00070998"/>
    <w:rsid w:val="0008239F"/>
    <w:rsid w:val="000A302A"/>
    <w:rsid w:val="000B1463"/>
    <w:rsid w:val="000C5B0E"/>
    <w:rsid w:val="000D0536"/>
    <w:rsid w:val="000D1FDB"/>
    <w:rsid w:val="00104CD7"/>
    <w:rsid w:val="00106BA5"/>
    <w:rsid w:val="0010756F"/>
    <w:rsid w:val="00111E3B"/>
    <w:rsid w:val="00123DA9"/>
    <w:rsid w:val="0013097E"/>
    <w:rsid w:val="00153A6D"/>
    <w:rsid w:val="00172F7B"/>
    <w:rsid w:val="00193F53"/>
    <w:rsid w:val="001976D1"/>
    <w:rsid w:val="001A5A05"/>
    <w:rsid w:val="001B460C"/>
    <w:rsid w:val="001C1A6C"/>
    <w:rsid w:val="001C5108"/>
    <w:rsid w:val="0020173F"/>
    <w:rsid w:val="002160FA"/>
    <w:rsid w:val="00220308"/>
    <w:rsid w:val="00235A84"/>
    <w:rsid w:val="00236E2D"/>
    <w:rsid w:val="00243B0D"/>
    <w:rsid w:val="00243F8B"/>
    <w:rsid w:val="00267340"/>
    <w:rsid w:val="00273A8B"/>
    <w:rsid w:val="002805B1"/>
    <w:rsid w:val="002823D9"/>
    <w:rsid w:val="00291048"/>
    <w:rsid w:val="0029464F"/>
    <w:rsid w:val="002A4EFF"/>
    <w:rsid w:val="002B4EE0"/>
    <w:rsid w:val="002E2656"/>
    <w:rsid w:val="002F5335"/>
    <w:rsid w:val="003064BB"/>
    <w:rsid w:val="0030794E"/>
    <w:rsid w:val="00334066"/>
    <w:rsid w:val="00342ECF"/>
    <w:rsid w:val="00347D78"/>
    <w:rsid w:val="00354862"/>
    <w:rsid w:val="003744AA"/>
    <w:rsid w:val="003906E4"/>
    <w:rsid w:val="003A17FF"/>
    <w:rsid w:val="003A6DCC"/>
    <w:rsid w:val="003C7F75"/>
    <w:rsid w:val="003F30D8"/>
    <w:rsid w:val="003F4449"/>
    <w:rsid w:val="004012C6"/>
    <w:rsid w:val="00414E78"/>
    <w:rsid w:val="00444FC9"/>
    <w:rsid w:val="0046178E"/>
    <w:rsid w:val="004660CF"/>
    <w:rsid w:val="00485BFB"/>
    <w:rsid w:val="004863C8"/>
    <w:rsid w:val="004A62C9"/>
    <w:rsid w:val="004B1B2F"/>
    <w:rsid w:val="004D477B"/>
    <w:rsid w:val="004E6D58"/>
    <w:rsid w:val="00501CC4"/>
    <w:rsid w:val="00522DAE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C1845"/>
    <w:rsid w:val="005D25C5"/>
    <w:rsid w:val="005D63BF"/>
    <w:rsid w:val="005D70B0"/>
    <w:rsid w:val="005F72B2"/>
    <w:rsid w:val="006036A3"/>
    <w:rsid w:val="00610994"/>
    <w:rsid w:val="00615575"/>
    <w:rsid w:val="00617396"/>
    <w:rsid w:val="00623246"/>
    <w:rsid w:val="00663631"/>
    <w:rsid w:val="00681E06"/>
    <w:rsid w:val="006A0986"/>
    <w:rsid w:val="006A5B83"/>
    <w:rsid w:val="006C004A"/>
    <w:rsid w:val="006D783E"/>
    <w:rsid w:val="006D7FCC"/>
    <w:rsid w:val="006F70B4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A008F"/>
    <w:rsid w:val="007A3385"/>
    <w:rsid w:val="007A402C"/>
    <w:rsid w:val="007A63C2"/>
    <w:rsid w:val="007B24EA"/>
    <w:rsid w:val="007D3C05"/>
    <w:rsid w:val="007E6E43"/>
    <w:rsid w:val="007F0BD4"/>
    <w:rsid w:val="00801723"/>
    <w:rsid w:val="00802294"/>
    <w:rsid w:val="00802725"/>
    <w:rsid w:val="008101F2"/>
    <w:rsid w:val="00812858"/>
    <w:rsid w:val="00822CDF"/>
    <w:rsid w:val="008442F5"/>
    <w:rsid w:val="008842C4"/>
    <w:rsid w:val="00890385"/>
    <w:rsid w:val="008A13D2"/>
    <w:rsid w:val="008A5AD6"/>
    <w:rsid w:val="008B0E48"/>
    <w:rsid w:val="008B5CB6"/>
    <w:rsid w:val="008D0176"/>
    <w:rsid w:val="008F2C84"/>
    <w:rsid w:val="008F54E0"/>
    <w:rsid w:val="00915841"/>
    <w:rsid w:val="0094549D"/>
    <w:rsid w:val="00946702"/>
    <w:rsid w:val="009547D1"/>
    <w:rsid w:val="009559A8"/>
    <w:rsid w:val="0097339D"/>
    <w:rsid w:val="009C4416"/>
    <w:rsid w:val="009E6275"/>
    <w:rsid w:val="009F319E"/>
    <w:rsid w:val="00A05FCA"/>
    <w:rsid w:val="00A13797"/>
    <w:rsid w:val="00A140DD"/>
    <w:rsid w:val="00A40D4A"/>
    <w:rsid w:val="00A46849"/>
    <w:rsid w:val="00A61728"/>
    <w:rsid w:val="00A710DE"/>
    <w:rsid w:val="00A720DE"/>
    <w:rsid w:val="00A92E41"/>
    <w:rsid w:val="00A9318E"/>
    <w:rsid w:val="00AF67EE"/>
    <w:rsid w:val="00B01153"/>
    <w:rsid w:val="00B45F5A"/>
    <w:rsid w:val="00B47DA4"/>
    <w:rsid w:val="00B70797"/>
    <w:rsid w:val="00B71190"/>
    <w:rsid w:val="00B73082"/>
    <w:rsid w:val="00B80111"/>
    <w:rsid w:val="00B924C6"/>
    <w:rsid w:val="00BC3E1A"/>
    <w:rsid w:val="00BD3B51"/>
    <w:rsid w:val="00BE22B5"/>
    <w:rsid w:val="00BE7C5B"/>
    <w:rsid w:val="00BE7F5D"/>
    <w:rsid w:val="00BF47AE"/>
    <w:rsid w:val="00BF7D7C"/>
    <w:rsid w:val="00C2293F"/>
    <w:rsid w:val="00C33579"/>
    <w:rsid w:val="00C33FB9"/>
    <w:rsid w:val="00C42E20"/>
    <w:rsid w:val="00C559C3"/>
    <w:rsid w:val="00C60AB0"/>
    <w:rsid w:val="00C82DBA"/>
    <w:rsid w:val="00C95A33"/>
    <w:rsid w:val="00C95CE1"/>
    <w:rsid w:val="00C97B1F"/>
    <w:rsid w:val="00CC1618"/>
    <w:rsid w:val="00CC7C00"/>
    <w:rsid w:val="00CE4EA8"/>
    <w:rsid w:val="00D3413B"/>
    <w:rsid w:val="00D368C2"/>
    <w:rsid w:val="00D53480"/>
    <w:rsid w:val="00D751BF"/>
    <w:rsid w:val="00D76949"/>
    <w:rsid w:val="00D77FAD"/>
    <w:rsid w:val="00DA2533"/>
    <w:rsid w:val="00DB3D07"/>
    <w:rsid w:val="00DD366D"/>
    <w:rsid w:val="00DD3BA0"/>
    <w:rsid w:val="00E11811"/>
    <w:rsid w:val="00E2012B"/>
    <w:rsid w:val="00E20D58"/>
    <w:rsid w:val="00E37655"/>
    <w:rsid w:val="00E5078A"/>
    <w:rsid w:val="00E569BF"/>
    <w:rsid w:val="00E7495F"/>
    <w:rsid w:val="00E8182E"/>
    <w:rsid w:val="00E84632"/>
    <w:rsid w:val="00E9101A"/>
    <w:rsid w:val="00EA2106"/>
    <w:rsid w:val="00EC07EE"/>
    <w:rsid w:val="00EC0B39"/>
    <w:rsid w:val="00EC1F82"/>
    <w:rsid w:val="00EC2262"/>
    <w:rsid w:val="00ED1CC7"/>
    <w:rsid w:val="00ED2BEA"/>
    <w:rsid w:val="00ED7BE1"/>
    <w:rsid w:val="00EF5FB5"/>
    <w:rsid w:val="00F0045A"/>
    <w:rsid w:val="00F034F3"/>
    <w:rsid w:val="00F17586"/>
    <w:rsid w:val="00F814A5"/>
    <w:rsid w:val="00F82990"/>
    <w:rsid w:val="00F926BA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">
    <w:name w:val="Nagłówek 2"/>
    <w:basedOn w:val="Nagwek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">
    <w:name w:val="Nagłówek 3"/>
    <w:basedOn w:val="Nagwek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">
    <w:name w:val="Stopka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customStyle="1" w:styleId="Podtytu">
    <w:name w:val="Podtytuł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rporate.ford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ford.com/content/fordmedia/feu/en/news/2020/01/13/innovative-new-ford-puma-fuses-mild-hybrid-efficiency--best-in-c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dia.ford.com/content/fordmedia/feu/en/news/2020/06/08/electrified-and-upgraded-ford-fiesta--even-better-fuel-economy-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ford.com/content/fordmedia/feu/en/news/2020/06/23/ford-makes-range-of-connected-vehicle-services-complimentary-for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3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1294A-2AF9-4C95-8C73-610D309A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Golebiowski, Andrzej (A.)</dc:creator>
  <cp:lastModifiedBy>Golebiowski, Andrzej (A.)</cp:lastModifiedBy>
  <cp:revision>3</cp:revision>
  <dcterms:created xsi:type="dcterms:W3CDTF">2020-08-04T10:09:00Z</dcterms:created>
  <dcterms:modified xsi:type="dcterms:W3CDTF">2020-08-04T10:13:00Z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