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49DA8" w14:textId="547E3FAA" w:rsidR="00EC0B39" w:rsidRPr="00B70831" w:rsidRDefault="00EC0B39" w:rsidP="00EC0B39">
      <w:pPr>
        <w:pStyle w:val="BodyText2"/>
        <w:spacing w:line="240" w:lineRule="auto"/>
        <w:rPr>
          <w:lang w:val="pl-PL"/>
        </w:rPr>
      </w:pPr>
      <w:bookmarkStart w:id="0" w:name="_Hlk21420256"/>
      <w:r>
        <w:rPr>
          <w:rFonts w:ascii="Arial" w:hAnsi="Arial" w:cs="Arial"/>
          <w:b/>
          <w:bCs/>
          <w:sz w:val="32"/>
          <w:szCs w:val="32"/>
          <w:lang w:val="pl-PL"/>
        </w:rPr>
        <w:t>Jak Ford chroni wnętrze Twojego samochodu.</w:t>
      </w:r>
    </w:p>
    <w:p w14:paraId="19D121B5" w14:textId="77777777" w:rsidR="00EC0B39" w:rsidRDefault="00EC0B39" w:rsidP="00EC0B39">
      <w:pPr>
        <w:pStyle w:val="BodyText2"/>
        <w:spacing w:line="240" w:lineRule="auto"/>
        <w:rPr>
          <w:rFonts w:ascii="Arial" w:hAnsi="Arial" w:cs="Arial"/>
          <w:b/>
          <w:bCs/>
          <w:sz w:val="22"/>
          <w:szCs w:val="22"/>
          <w:lang w:val="pl-PL"/>
        </w:rPr>
      </w:pPr>
    </w:p>
    <w:p w14:paraId="0706D0E8" w14:textId="0A5D34E1" w:rsidR="00EC0B39" w:rsidRPr="00B70831" w:rsidRDefault="00EC0B39" w:rsidP="00EC0B39">
      <w:pPr>
        <w:numPr>
          <w:ilvl w:val="0"/>
          <w:numId w:val="27"/>
        </w:numPr>
        <w:rPr>
          <w:lang w:val="pl-PL"/>
        </w:rPr>
      </w:pPr>
      <w:r>
        <w:rPr>
          <w:rFonts w:ascii="Arial" w:hAnsi="Arial" w:cs="Arial"/>
          <w:sz w:val="22"/>
          <w:szCs w:val="22"/>
          <w:lang w:val="pl-PL"/>
        </w:rPr>
        <w:t>Środki do dezynfekcji rąk na bazie etanolu są ważnym narzędziem w ochronie przed COVID-19, ale mogą wpływać na przedwczesne starzenie się wnętrza samochodu.</w:t>
      </w:r>
    </w:p>
    <w:p w14:paraId="2B8917F1" w14:textId="77777777" w:rsidR="00EC0B39" w:rsidRDefault="00EC0B39" w:rsidP="00EC0B39">
      <w:pPr>
        <w:pStyle w:val="BodyText2"/>
        <w:spacing w:line="240" w:lineRule="auto"/>
        <w:rPr>
          <w:rFonts w:ascii="Arial" w:hAnsi="Arial" w:cs="Arial"/>
          <w:b/>
          <w:bCs/>
          <w:sz w:val="22"/>
          <w:szCs w:val="22"/>
          <w:lang w:val="pl-PL"/>
        </w:rPr>
      </w:pPr>
    </w:p>
    <w:p w14:paraId="45685337" w14:textId="1A64E718" w:rsidR="00EC0B39" w:rsidRPr="00B70831" w:rsidRDefault="00EC0B39" w:rsidP="00EC0B39">
      <w:pPr>
        <w:numPr>
          <w:ilvl w:val="0"/>
          <w:numId w:val="27"/>
        </w:numPr>
        <w:rPr>
          <w:lang w:val="pl-PL"/>
        </w:rPr>
      </w:pPr>
      <w:r>
        <w:rPr>
          <w:rFonts w:ascii="Arial" w:hAnsi="Arial" w:cs="Arial"/>
          <w:sz w:val="22"/>
          <w:szCs w:val="22"/>
          <w:lang w:val="pl-PL"/>
        </w:rPr>
        <w:t>Powszechne stosowanie środków dezynfekcji rąk podczas pandemii spowodowało gwałtowny wzrost ich sprzedaży; rynki takie jak Włochy odnotowały 18-krotny wzrost w porównaniu z analogicznym okresem ubiegłego roku.</w:t>
      </w:r>
    </w:p>
    <w:p w14:paraId="4E4D3694" w14:textId="77777777" w:rsidR="00EC0B39" w:rsidRDefault="00EC0B39" w:rsidP="00EC0B39">
      <w:pPr>
        <w:pStyle w:val="ListParagraph"/>
        <w:ind w:left="0"/>
        <w:rPr>
          <w:rFonts w:ascii="Arial" w:hAnsi="Arial" w:cs="Arial"/>
          <w:sz w:val="22"/>
          <w:szCs w:val="22"/>
          <w:lang w:val="pl-PL"/>
        </w:rPr>
      </w:pPr>
    </w:p>
    <w:p w14:paraId="03339E31" w14:textId="1B26DC85" w:rsidR="00EC0B39" w:rsidRPr="00B70831" w:rsidRDefault="00EC0B39" w:rsidP="00EC0B39">
      <w:pPr>
        <w:numPr>
          <w:ilvl w:val="0"/>
          <w:numId w:val="27"/>
        </w:numPr>
        <w:rPr>
          <w:lang w:val="pl-PL"/>
        </w:rPr>
      </w:pPr>
      <w:r>
        <w:rPr>
          <w:rFonts w:ascii="Arial" w:hAnsi="Arial" w:cs="Arial"/>
          <w:sz w:val="22"/>
          <w:szCs w:val="22"/>
          <w:lang w:val="pl-PL"/>
        </w:rPr>
        <w:t>Ford, testując materiały w ekstremalnych warunkach, chce dać klientom pewność, że ich pojazdy dłużej będą wyglądać jak nowe, a wnętrza wytrzymają nowe wyzwania.</w:t>
      </w:r>
    </w:p>
    <w:p w14:paraId="5863392E" w14:textId="77777777" w:rsidR="00EC0B39" w:rsidRDefault="00EC0B39" w:rsidP="00EC0B39">
      <w:pPr>
        <w:shd w:val="clear" w:color="auto" w:fill="FFFFFF"/>
        <w:spacing w:before="280" w:after="280"/>
        <w:rPr>
          <w:rFonts w:ascii="Arial" w:hAnsi="Arial" w:cs="Arial"/>
          <w:color w:val="000000"/>
          <w:sz w:val="22"/>
          <w:szCs w:val="22"/>
          <w:lang w:val="pl-PL"/>
        </w:rPr>
      </w:pPr>
      <w:r>
        <w:rPr>
          <w:rFonts w:ascii="Arial" w:hAnsi="Arial" w:cs="Arial"/>
          <w:b/>
          <w:sz w:val="22"/>
          <w:szCs w:val="22"/>
          <w:lang w:val="pl-PL"/>
        </w:rPr>
        <w:t>WARSZAWA, 18 czerwca 2020 roku</w:t>
      </w:r>
      <w:r>
        <w:rPr>
          <w:rFonts w:ascii="Arial" w:hAnsi="Arial" w:cs="Arial"/>
          <w:sz w:val="22"/>
          <w:szCs w:val="22"/>
          <w:lang w:val="pl-PL"/>
        </w:rPr>
        <w:t xml:space="preserve"> –</w:t>
      </w:r>
      <w:r>
        <w:rPr>
          <w:rFonts w:ascii="Arial" w:hAnsi="Arial" w:cs="Arial"/>
          <w:color w:val="000000"/>
          <w:sz w:val="22"/>
          <w:szCs w:val="22"/>
          <w:lang w:val="pl-PL"/>
        </w:rPr>
        <w:t xml:space="preserve"> Zgodnie z zaleceniami, wprowadzonymi podczas pandemii COVID-19, coraz więcej osób po powrocie do samochodu myje ręce środkiem dezynfekcyjnym. Może to ochronić zdrowie właściciela, ale szkodzić elementom wnętrza. </w:t>
      </w:r>
    </w:p>
    <w:p w14:paraId="6B0F0F66" w14:textId="3953DFC6" w:rsidR="00EC0B39" w:rsidRPr="00B70831" w:rsidRDefault="00EC0B39" w:rsidP="00EC0B39">
      <w:pPr>
        <w:shd w:val="clear" w:color="auto" w:fill="FFFFFF"/>
        <w:spacing w:before="280" w:after="280"/>
        <w:rPr>
          <w:lang w:val="pl-PL"/>
        </w:rPr>
      </w:pPr>
      <w:r>
        <w:rPr>
          <w:rFonts w:ascii="Arial" w:hAnsi="Arial" w:cs="Arial"/>
          <w:color w:val="000000"/>
          <w:sz w:val="22"/>
          <w:szCs w:val="22"/>
          <w:lang w:val="pl-PL"/>
        </w:rPr>
        <w:t xml:space="preserve">Substancje chemiczne, jak etanol, występujący w niektórych środkach dezynfekcyjnych może reagować na powierzchniach, powodując ich przedwczesne zużycie, jeżeli nie są chronione specjalnymi </w:t>
      </w:r>
      <w:r w:rsidR="00116575">
        <w:rPr>
          <w:rFonts w:ascii="Arial" w:hAnsi="Arial" w:cs="Arial"/>
          <w:color w:val="000000"/>
          <w:sz w:val="22"/>
          <w:szCs w:val="22"/>
          <w:lang w:val="pl-PL"/>
        </w:rPr>
        <w:t>zabezpieczeniami</w:t>
      </w:r>
      <w:r>
        <w:rPr>
          <w:rFonts w:ascii="Arial" w:hAnsi="Arial" w:cs="Arial"/>
          <w:color w:val="000000"/>
          <w:sz w:val="22"/>
          <w:szCs w:val="22"/>
          <w:lang w:val="pl-PL"/>
        </w:rPr>
        <w:t>.</w:t>
      </w:r>
    </w:p>
    <w:p w14:paraId="3BCEA2A2" w14:textId="77777777" w:rsidR="00EC0B39" w:rsidRPr="00B70831" w:rsidRDefault="00EC0B39" w:rsidP="00EC0B39">
      <w:pPr>
        <w:shd w:val="clear" w:color="auto" w:fill="FFFFFF"/>
        <w:spacing w:before="280" w:after="280"/>
        <w:rPr>
          <w:lang w:val="pl-PL"/>
        </w:rPr>
      </w:pPr>
      <w:r>
        <w:rPr>
          <w:rFonts w:ascii="Arial" w:hAnsi="Arial" w:cs="Arial"/>
          <w:color w:val="000000"/>
          <w:sz w:val="22"/>
          <w:szCs w:val="22"/>
          <w:lang w:val="pl-PL"/>
        </w:rPr>
        <w:t xml:space="preserve">Inżynierowie Forda od dawna testują wpływ nowych produktów na materiały używane w pojazdach produkowanych przez koncern. Na podstawie wyników badań, skład chemiczny powłok ochronnych można zmieniać tak, by wnętrza pozostały efektowne bez względu na intensywność eksploatacji. Testami objęte są również akcesoria do przechowywania, sprzedawane przez Dział Obsługi Klienta Forda, takie jak wykładziny bagażnika i plastikowe osłony wnętrza. </w:t>
      </w:r>
    </w:p>
    <w:p w14:paraId="0141EDF5" w14:textId="77777777" w:rsidR="00EC0B39" w:rsidRPr="00B70831" w:rsidRDefault="00EC0B39" w:rsidP="00EC0B39">
      <w:pPr>
        <w:shd w:val="clear" w:color="auto" w:fill="FFFFFF"/>
        <w:spacing w:before="280" w:after="280"/>
        <w:rPr>
          <w:lang w:val="pl-PL"/>
        </w:rPr>
      </w:pPr>
      <w:r>
        <w:rPr>
          <w:rFonts w:ascii="Arial" w:eastAsia="Arial" w:hAnsi="Arial" w:cs="Arial"/>
          <w:color w:val="000000"/>
          <w:sz w:val="22"/>
          <w:szCs w:val="22"/>
          <w:lang w:val="pl-PL"/>
        </w:rPr>
        <w:t xml:space="preserve">– Środki dezynfekcyjne do rąk to produkty, które były coraz częściej stosowane od kilku lat, dlatego od dłuższego czasu są poddawane naszym testom – mówi Mark Montgomery, starszy inżynier materiałowy w Centrum Technologii Materiałów Ford Europe w </w:t>
      </w:r>
      <w:proofErr w:type="spellStart"/>
      <w:r>
        <w:rPr>
          <w:rFonts w:ascii="Arial" w:eastAsia="Arial" w:hAnsi="Arial" w:cs="Arial"/>
          <w:color w:val="000000"/>
          <w:sz w:val="22"/>
          <w:szCs w:val="22"/>
          <w:lang w:val="pl-PL"/>
        </w:rPr>
        <w:t>Dunton</w:t>
      </w:r>
      <w:proofErr w:type="spellEnd"/>
      <w:r>
        <w:rPr>
          <w:rFonts w:ascii="Arial" w:eastAsia="Arial" w:hAnsi="Arial" w:cs="Arial"/>
          <w:color w:val="000000"/>
          <w:sz w:val="22"/>
          <w:szCs w:val="22"/>
          <w:lang w:val="pl-PL"/>
        </w:rPr>
        <w:t xml:space="preserve"> w Wielkiej Brytanii.</w:t>
      </w:r>
      <w:r>
        <w:rPr>
          <w:rFonts w:ascii="Arial" w:hAnsi="Arial" w:cs="Arial"/>
          <w:color w:val="000000"/>
          <w:sz w:val="22"/>
          <w:szCs w:val="22"/>
          <w:lang w:val="pl-PL"/>
        </w:rPr>
        <w:t xml:space="preserve">  – Nawet najbardziej na pozór nieszkodliwy produkt, może być przyczyną problemów, jeśli ma częsty kontakt z powierzchnią, ale takie rzeczy, jak środki dezynfekujące do rąk, balsamy do opalania i środki odstraszające owady mogą być szczególnie szkodliwe.</w:t>
      </w:r>
    </w:p>
    <w:p w14:paraId="59527FF5" w14:textId="77777777" w:rsidR="00EC0B39" w:rsidRPr="00B70831" w:rsidRDefault="00EC0B39" w:rsidP="00EC0B39">
      <w:pPr>
        <w:pStyle w:val="NormalWeb"/>
        <w:shd w:val="clear" w:color="auto" w:fill="FFFFFF"/>
        <w:spacing w:before="0" w:after="150"/>
        <w:rPr>
          <w:lang w:val="pl-PL"/>
        </w:rPr>
      </w:pPr>
      <w:bookmarkStart w:id="1" w:name="_Hlk41479828"/>
      <w:bookmarkEnd w:id="1"/>
      <w:r>
        <w:rPr>
          <w:rFonts w:ascii="Arial" w:hAnsi="Arial" w:cs="Arial"/>
          <w:color w:val="000000"/>
          <w:sz w:val="22"/>
          <w:szCs w:val="22"/>
          <w:lang w:val="pl-PL"/>
        </w:rPr>
        <w:t xml:space="preserve">Stosowanie środków do dezynfekcyjnych stało się bardzo popularne po wybuchu pandemii COVID-19, na przykład we Włoszech odnotowano nawet </w:t>
      </w:r>
      <w:hyperlink r:id="rId8">
        <w:r>
          <w:rPr>
            <w:rStyle w:val="czeinternetowe"/>
            <w:rFonts w:ascii="Arial" w:hAnsi="Arial" w:cs="Arial"/>
            <w:sz w:val="22"/>
            <w:szCs w:val="22"/>
            <w:lang w:val="pl-PL"/>
          </w:rPr>
          <w:t xml:space="preserve">18-krotny wzrost </w:t>
        </w:r>
      </w:hyperlink>
      <w:r>
        <w:rPr>
          <w:rFonts w:ascii="Arial" w:hAnsi="Arial" w:cs="Arial"/>
          <w:color w:val="000000"/>
          <w:sz w:val="22"/>
          <w:szCs w:val="22"/>
          <w:lang w:val="pl-PL"/>
        </w:rPr>
        <w:t xml:space="preserve">sprzedaży środka do dezynfekcji rąk w porównaniu z analogicznym okresem ubiegłego roku. Niektóre najnowsze prognozy mówią, że globalny rynek środków dezynfekcyjnych do rąk </w:t>
      </w:r>
      <w:hyperlink r:id="rId9">
        <w:r>
          <w:rPr>
            <w:rStyle w:val="czeinternetowe"/>
            <w:rFonts w:ascii="Arial" w:hAnsi="Arial" w:cs="Arial"/>
            <w:sz w:val="22"/>
            <w:szCs w:val="22"/>
            <w:lang w:val="pl-PL"/>
          </w:rPr>
          <w:t xml:space="preserve">wzrośnie w tym roku prawie dwa i pół </w:t>
        </w:r>
        <w:proofErr w:type="spellStart"/>
        <w:r>
          <w:rPr>
            <w:rStyle w:val="czeinternetowe"/>
            <w:rFonts w:ascii="Arial" w:hAnsi="Arial" w:cs="Arial"/>
            <w:sz w:val="22"/>
            <w:szCs w:val="22"/>
            <w:lang w:val="pl-PL"/>
          </w:rPr>
          <w:t>raza</w:t>
        </w:r>
        <w:proofErr w:type="spellEnd"/>
      </w:hyperlink>
      <w:r>
        <w:rPr>
          <w:rFonts w:ascii="Arial" w:hAnsi="Arial" w:cs="Arial"/>
          <w:color w:val="000000"/>
          <w:sz w:val="22"/>
          <w:szCs w:val="22"/>
          <w:lang w:val="pl-PL"/>
        </w:rPr>
        <w:t xml:space="preserve"> r. w porównaniu do roku 2019.   </w:t>
      </w:r>
    </w:p>
    <w:p w14:paraId="4D03BD6F" w14:textId="61BC84F2" w:rsidR="00EC0B39" w:rsidRPr="00B70831" w:rsidRDefault="00EC0B39" w:rsidP="00EC0B39">
      <w:pPr>
        <w:pStyle w:val="NormalWeb"/>
        <w:shd w:val="clear" w:color="auto" w:fill="FFFFFF"/>
        <w:spacing w:before="0" w:after="150"/>
        <w:rPr>
          <w:lang w:val="pl-PL"/>
        </w:rPr>
      </w:pPr>
      <w:bookmarkStart w:id="2" w:name="_Hlk414798286"/>
      <w:bookmarkEnd w:id="2"/>
      <w:r>
        <w:rPr>
          <w:rFonts w:ascii="Arial" w:hAnsi="Arial" w:cs="Arial"/>
          <w:color w:val="000000"/>
          <w:sz w:val="22"/>
          <w:szCs w:val="22"/>
          <w:lang w:val="pl-PL"/>
        </w:rPr>
        <w:t>Chociaż środek dezynfekcyjny niszczy bakterie i wirusy na dłoniach, nie musi niszczyć elementów wnętrza Forda, nie chroni też przed zarazkami znajdującymi się w całym wnętrzu, zwłaszcza jeśli jadą w nim inni pasażerowie</w:t>
      </w:r>
      <w:bookmarkStart w:id="3" w:name="_GoBack"/>
      <w:bookmarkEnd w:id="3"/>
      <w:r>
        <w:rPr>
          <w:rFonts w:ascii="Arial" w:hAnsi="Arial" w:cs="Arial"/>
          <w:color w:val="000000"/>
          <w:sz w:val="22"/>
          <w:szCs w:val="22"/>
          <w:lang w:val="pl-PL"/>
        </w:rPr>
        <w:t xml:space="preserve">. Podczas czyszczenia należy unikać używania produktów zawierających wybielacz lub wodę utlenioną, czy perhydrol, a także produktów na bazie amoniaku, które mogą uszkodzić powłoki przeciwodblaskowe i powłoki chroniące przed </w:t>
      </w:r>
      <w:r>
        <w:rPr>
          <w:rFonts w:ascii="Arial" w:hAnsi="Arial" w:cs="Arial"/>
          <w:color w:val="000000"/>
          <w:sz w:val="22"/>
          <w:szCs w:val="22"/>
          <w:lang w:val="pl-PL"/>
        </w:rPr>
        <w:lastRenderedPageBreak/>
        <w:t xml:space="preserve">tłustymi śladami naszych palców. Skutecznym sposobem na wyeliminowanie zagrożeń mogą być też domowe płyny dezynfekujące. </w:t>
      </w:r>
    </w:p>
    <w:p w14:paraId="2387320E" w14:textId="77777777" w:rsidR="00EC0B39" w:rsidRPr="00B70831" w:rsidRDefault="00EC0B39" w:rsidP="00EC0B39">
      <w:pPr>
        <w:pStyle w:val="NormalWeb"/>
        <w:shd w:val="clear" w:color="auto" w:fill="FFFFFF"/>
        <w:spacing w:before="0" w:after="150"/>
        <w:rPr>
          <w:lang w:val="pl-PL"/>
        </w:rPr>
      </w:pPr>
      <w:r>
        <w:rPr>
          <w:rFonts w:ascii="Arial" w:eastAsia="Arial" w:hAnsi="Arial" w:cs="Arial"/>
          <w:color w:val="000000"/>
          <w:sz w:val="22"/>
          <w:szCs w:val="22"/>
          <w:lang w:val="pl-PL"/>
        </w:rPr>
        <w:t xml:space="preserve">– </w:t>
      </w:r>
      <w:r>
        <w:rPr>
          <w:rFonts w:ascii="Arial" w:hAnsi="Arial" w:cs="Arial"/>
          <w:color w:val="000000"/>
          <w:sz w:val="22"/>
          <w:szCs w:val="22"/>
          <w:lang w:val="pl-PL"/>
        </w:rPr>
        <w:t xml:space="preserve">Należy zwrócić szczególną uwagę na często dotykane obszary, takie jak kierownica, uchwyty, drążek zmiany biegów, wszelkie przyciski lub ekrany dotykowe, dźwignie wycieraczek i kierunkowskazów, podłokietniki i regulacja siedzeń – </w:t>
      </w:r>
      <w:bookmarkStart w:id="4" w:name="_Hlk41918733"/>
      <w:r>
        <w:rPr>
          <w:rFonts w:ascii="Arial" w:hAnsi="Arial" w:cs="Arial"/>
          <w:color w:val="000000"/>
          <w:sz w:val="22"/>
          <w:szCs w:val="22"/>
          <w:lang w:val="pl-PL"/>
        </w:rPr>
        <w:t xml:space="preserve">mówi Jenny </w:t>
      </w:r>
      <w:proofErr w:type="spellStart"/>
      <w:r>
        <w:rPr>
          <w:rFonts w:ascii="Arial" w:hAnsi="Arial" w:cs="Arial"/>
          <w:color w:val="000000"/>
          <w:sz w:val="22"/>
          <w:szCs w:val="22"/>
          <w:lang w:val="pl-PL"/>
        </w:rPr>
        <w:t>Dodman</w:t>
      </w:r>
      <w:proofErr w:type="spellEnd"/>
      <w:r>
        <w:rPr>
          <w:rFonts w:ascii="Arial" w:hAnsi="Arial" w:cs="Arial"/>
          <w:color w:val="000000"/>
          <w:sz w:val="22"/>
          <w:szCs w:val="22"/>
          <w:lang w:val="pl-PL"/>
        </w:rPr>
        <w:t>, dyrektor do spraw medycznych Forda w Wielkiej Brytanii.</w:t>
      </w:r>
      <w:bookmarkEnd w:id="4"/>
      <w:r>
        <w:rPr>
          <w:rFonts w:ascii="Arial" w:hAnsi="Arial" w:cs="Arial"/>
          <w:color w:val="000000"/>
          <w:sz w:val="22"/>
          <w:szCs w:val="22"/>
          <w:lang w:val="pl-PL"/>
        </w:rPr>
        <w:t xml:space="preserve"> – Wysoko na liście detali podlegających dezynfekcji powinny również znajdować się pasy bezpieczeństwa. Pas bezpieczeństwa znajduje się tak blisko, że prawdopodobnie nie raz przyjął na siebie to, co pasażerowie wykichali, lub wykasłali.</w:t>
      </w:r>
    </w:p>
    <w:p w14:paraId="1497F7B0" w14:textId="77777777" w:rsidR="00EC0B39" w:rsidRPr="00B70831" w:rsidRDefault="00EC0B39" w:rsidP="00EC0B39">
      <w:pPr>
        <w:pStyle w:val="NormalWeb"/>
        <w:shd w:val="clear" w:color="auto" w:fill="FFFFFF"/>
        <w:spacing w:before="0" w:after="150"/>
        <w:rPr>
          <w:lang w:val="pl-PL"/>
        </w:rPr>
      </w:pPr>
      <w:r>
        <w:rPr>
          <w:rFonts w:ascii="Arial" w:hAnsi="Arial" w:cs="Arial"/>
          <w:color w:val="000000"/>
          <w:sz w:val="22"/>
          <w:szCs w:val="22"/>
          <w:lang w:val="pl-PL"/>
        </w:rPr>
        <w:t xml:space="preserve">Zespoły Forda w </w:t>
      </w:r>
      <w:proofErr w:type="spellStart"/>
      <w:r>
        <w:rPr>
          <w:rFonts w:ascii="Arial" w:hAnsi="Arial" w:cs="Arial"/>
          <w:color w:val="000000"/>
          <w:sz w:val="22"/>
          <w:szCs w:val="22"/>
          <w:lang w:val="pl-PL"/>
        </w:rPr>
        <w:t>Dunton</w:t>
      </w:r>
      <w:proofErr w:type="spellEnd"/>
      <w:r>
        <w:rPr>
          <w:rFonts w:ascii="Arial" w:hAnsi="Arial" w:cs="Arial"/>
          <w:color w:val="000000"/>
          <w:sz w:val="22"/>
          <w:szCs w:val="22"/>
          <w:lang w:val="pl-PL"/>
        </w:rPr>
        <w:t xml:space="preserve"> w Wielkiej Brytanii i w Kolonii w Niemczech przeprowadzają testy próbek materiałów w temperaturach sięgających w niektórych przypadkach 74°C, jakie może osiągnąć wnętrze samochodu, zaparkowanego w upalny dzień przy plaży. W innych testach symulują długotrwałą ekspozycję na słońcu, z próbkami bombardowanymi światłem ultrafioletowym, nawet przez 1152 godziny (48 dni).</w:t>
      </w:r>
    </w:p>
    <w:p w14:paraId="2505E20C" w14:textId="77777777" w:rsidR="00EC0B39" w:rsidRPr="00B70831" w:rsidRDefault="00EC0B39" w:rsidP="00EC0B39">
      <w:pPr>
        <w:pStyle w:val="NormalWeb"/>
        <w:shd w:val="clear" w:color="auto" w:fill="FFFFFF"/>
        <w:spacing w:before="0" w:after="150"/>
        <w:rPr>
          <w:lang w:val="pl-PL"/>
        </w:rPr>
      </w:pPr>
      <w:r>
        <w:rPr>
          <w:rFonts w:ascii="Arial" w:hAnsi="Arial" w:cs="Arial"/>
          <w:color w:val="000000"/>
          <w:sz w:val="22"/>
          <w:szCs w:val="22"/>
          <w:lang w:val="pl-PL"/>
        </w:rPr>
        <w:t>Sprawdzają również wytrzymałość tworzyw sztucznych w niskich temperaturach, sięgających –30°C, w których stają się najbardziej kruche, wielokrotnie odbijając na nich ciężką gumową piłkę, aby upewnić się, że plastik nie pęka.</w:t>
      </w:r>
    </w:p>
    <w:p w14:paraId="6DBDA84B" w14:textId="77777777" w:rsidR="00EC0B39" w:rsidRDefault="00EC0B39" w:rsidP="00EC0B39">
      <w:pPr>
        <w:pStyle w:val="NormalWeb"/>
        <w:shd w:val="clear" w:color="auto" w:fill="FFFFFF"/>
        <w:spacing w:before="0" w:after="150"/>
        <w:rPr>
          <w:rFonts w:ascii="Arial" w:hAnsi="Arial" w:cs="Arial"/>
          <w:color w:val="333333"/>
          <w:sz w:val="21"/>
          <w:szCs w:val="21"/>
          <w:lang w:val="pl-PL"/>
        </w:rPr>
      </w:pPr>
    </w:p>
    <w:p w14:paraId="1FEE3F75" w14:textId="77777777" w:rsidR="00EC0B39" w:rsidRPr="00B70831" w:rsidRDefault="00EC0B39" w:rsidP="00EC0B39">
      <w:pPr>
        <w:pStyle w:val="NormalWeb"/>
        <w:shd w:val="clear" w:color="auto" w:fill="FFFFFF"/>
        <w:spacing w:before="0" w:after="150"/>
        <w:rPr>
          <w:lang w:val="pl-PL"/>
        </w:rPr>
      </w:pPr>
      <w:r>
        <w:rPr>
          <w:rFonts w:ascii="Arial" w:hAnsi="Arial" w:cs="Arial"/>
          <w:color w:val="333333"/>
          <w:sz w:val="21"/>
          <w:szCs w:val="21"/>
          <w:lang w:val="pl-PL"/>
        </w:rPr>
        <w:tab/>
      </w:r>
      <w:r>
        <w:rPr>
          <w:rFonts w:ascii="Arial" w:hAnsi="Arial" w:cs="Arial"/>
          <w:color w:val="333333"/>
          <w:sz w:val="21"/>
          <w:szCs w:val="21"/>
          <w:lang w:val="pl-PL"/>
        </w:rPr>
        <w:tab/>
      </w:r>
      <w:r>
        <w:rPr>
          <w:rFonts w:ascii="Arial" w:hAnsi="Arial" w:cs="Arial"/>
          <w:color w:val="333333"/>
          <w:sz w:val="21"/>
          <w:szCs w:val="21"/>
          <w:lang w:val="pl-PL"/>
        </w:rPr>
        <w:tab/>
      </w:r>
      <w:r>
        <w:rPr>
          <w:rFonts w:ascii="Arial" w:hAnsi="Arial" w:cs="Arial"/>
          <w:color w:val="333333"/>
          <w:sz w:val="21"/>
          <w:szCs w:val="21"/>
          <w:lang w:val="pl-PL"/>
        </w:rPr>
        <w:tab/>
      </w:r>
      <w:r>
        <w:rPr>
          <w:rFonts w:ascii="Arial" w:hAnsi="Arial" w:cs="Arial"/>
          <w:color w:val="333333"/>
          <w:sz w:val="21"/>
          <w:szCs w:val="21"/>
          <w:lang w:val="pl-PL"/>
        </w:rPr>
        <w:tab/>
      </w:r>
      <w:r>
        <w:rPr>
          <w:rFonts w:ascii="Arial" w:hAnsi="Arial" w:cs="Arial"/>
          <w:color w:val="333333"/>
          <w:sz w:val="21"/>
          <w:szCs w:val="21"/>
          <w:lang w:val="pl-PL"/>
        </w:rPr>
        <w:tab/>
        <w:t>###</w:t>
      </w:r>
    </w:p>
    <w:p w14:paraId="120528E0" w14:textId="77777777" w:rsidR="00EC0B39" w:rsidRDefault="00EC0B39" w:rsidP="00EC0B39">
      <w:pPr>
        <w:rPr>
          <w:rFonts w:ascii="Arial" w:hAnsi="Arial" w:cs="Arial"/>
          <w:color w:val="333333"/>
          <w:sz w:val="21"/>
          <w:szCs w:val="20"/>
          <w:lang w:val="pl-PL"/>
        </w:rPr>
      </w:pPr>
    </w:p>
    <w:p w14:paraId="6AFDC3C8" w14:textId="77777777" w:rsidR="00EC0B39" w:rsidRPr="00B70831" w:rsidRDefault="00EC0B39" w:rsidP="00EC0B39">
      <w:pPr>
        <w:rPr>
          <w:lang w:val="pl-PL"/>
        </w:rPr>
      </w:pPr>
      <w:r>
        <w:rPr>
          <w:rFonts w:ascii="Arial" w:hAnsi="Arial" w:cs="Arial"/>
          <w:b/>
          <w:bCs/>
          <w:i/>
          <w:lang w:val="pl-PL"/>
        </w:rPr>
        <w:t>O Ford Motor Company</w:t>
      </w:r>
    </w:p>
    <w:p w14:paraId="244CC885" w14:textId="77777777" w:rsidR="00EC0B39" w:rsidRPr="00B70831" w:rsidRDefault="00EC0B39" w:rsidP="00EC0B39">
      <w:pPr>
        <w:rPr>
          <w:lang w:val="pl-PL"/>
        </w:rPr>
      </w:pPr>
      <w:r>
        <w:rPr>
          <w:rFonts w:ascii="Arial" w:hAnsi="Arial" w:cs="Arial"/>
          <w:i/>
          <w:iCs/>
          <w:lang w:val="pl-PL"/>
        </w:rPr>
        <w:t xml:space="preserve">Ford Motor Company z centralą w </w:t>
      </w:r>
      <w:proofErr w:type="spellStart"/>
      <w:r>
        <w:rPr>
          <w:rFonts w:ascii="Arial" w:hAnsi="Arial" w:cs="Arial"/>
          <w:i/>
          <w:iCs/>
          <w:lang w:val="pl-PL"/>
        </w:rPr>
        <w:t>Dearborn</w:t>
      </w:r>
      <w:proofErr w:type="spellEnd"/>
      <w:r>
        <w:rPr>
          <w:rFonts w:ascii="Arial" w:hAnsi="Arial" w:cs="Arial"/>
          <w:i/>
          <w:iCs/>
          <w:lang w:val="pl-PL"/>
        </w:rPr>
        <w:t xml:space="preserve"> w stanie Michigan w USA jest globalną marką oferującą samochody i usługi mobilne. Firma zatrudnia około 188 tys. pracowników w zakładach na całym świecie, zajmując się projektowaniem, produkcją, marketingiem, finansowaniem i serwisowaniem całej gamy samochodów osobowych, użytkowych oraz SUV-ów marki Ford i luksusowej marki Lincoln. Rozszerzając swoją działalność, Ford umacnia pozycję lidera w dziedzinie elektryfikacji pojazdów, inwestuje w rozwój mobilności, systemy autonomicznej jazdy oraz usługi dla pojazdów skomunikowanych. Firma świadczy usługi finansowe za pośrednictwem Ford Motor </w:t>
      </w:r>
      <w:proofErr w:type="spellStart"/>
      <w:r>
        <w:rPr>
          <w:rFonts w:ascii="Arial" w:hAnsi="Arial" w:cs="Arial"/>
          <w:i/>
          <w:iCs/>
          <w:lang w:val="pl-PL"/>
        </w:rPr>
        <w:t>Credit</w:t>
      </w:r>
      <w:proofErr w:type="spellEnd"/>
      <w:r>
        <w:rPr>
          <w:rFonts w:ascii="Arial" w:hAnsi="Arial" w:cs="Arial"/>
          <w:i/>
          <w:iCs/>
          <w:lang w:val="pl-PL"/>
        </w:rPr>
        <w:t xml:space="preserve"> Company. Więcej informacji na temat Forda, produktów firmy oraz oddziału Ford Motor </w:t>
      </w:r>
      <w:proofErr w:type="spellStart"/>
      <w:r>
        <w:rPr>
          <w:rFonts w:ascii="Arial" w:hAnsi="Arial" w:cs="Arial"/>
          <w:i/>
          <w:iCs/>
          <w:lang w:val="pl-PL"/>
        </w:rPr>
        <w:t>Credit</w:t>
      </w:r>
      <w:proofErr w:type="spellEnd"/>
      <w:r>
        <w:rPr>
          <w:rFonts w:ascii="Arial" w:hAnsi="Arial" w:cs="Arial"/>
          <w:i/>
          <w:iCs/>
          <w:lang w:val="pl-PL"/>
        </w:rPr>
        <w:t xml:space="preserve"> Company na stronie </w:t>
      </w:r>
      <w:hyperlink r:id="rId10">
        <w:r>
          <w:rPr>
            <w:rStyle w:val="czeinternetowe"/>
            <w:rFonts w:ascii="Arial" w:hAnsi="Arial" w:cs="Arial"/>
            <w:i/>
            <w:iCs/>
            <w:lang w:val="pl-PL"/>
          </w:rPr>
          <w:t>www.corporate.ford.com</w:t>
        </w:r>
      </w:hyperlink>
      <w:r>
        <w:rPr>
          <w:rFonts w:ascii="Arial" w:hAnsi="Arial" w:cs="Arial"/>
          <w:i/>
          <w:iCs/>
          <w:color w:val="1F497D"/>
          <w:lang w:val="pl-PL"/>
        </w:rPr>
        <w:t xml:space="preserve">. </w:t>
      </w:r>
    </w:p>
    <w:p w14:paraId="30B54958" w14:textId="77777777" w:rsidR="00EC0B39" w:rsidRDefault="00EC0B39" w:rsidP="00EC0B39">
      <w:pPr>
        <w:rPr>
          <w:rFonts w:ascii="Arial" w:hAnsi="Arial" w:cs="Arial"/>
          <w:i/>
          <w:iCs/>
          <w:color w:val="1F497D"/>
          <w:szCs w:val="20"/>
          <w:lang w:val="pl-PL"/>
        </w:rPr>
      </w:pPr>
    </w:p>
    <w:p w14:paraId="35CB8332" w14:textId="77777777" w:rsidR="00EC0B39" w:rsidRDefault="00EC0B39" w:rsidP="00EC0B39">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w:t>
      </w:r>
      <w:proofErr w:type="spellStart"/>
      <w:r>
        <w:rPr>
          <w:rFonts w:ascii="Arial" w:hAnsi="Arial" w:cs="Arial"/>
          <w:i/>
          <w:iCs/>
          <w:lang w:val="pl-PL"/>
        </w:rPr>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5B74E0EA" w14:textId="77777777" w:rsidR="00EC0B39" w:rsidRDefault="00EC0B39" w:rsidP="00EC0B39">
      <w:pPr>
        <w:rPr>
          <w:rFonts w:ascii="Arial" w:hAnsi="Arial" w:cs="Arial"/>
          <w:i/>
          <w:color w:val="FF0000"/>
          <w:szCs w:val="20"/>
          <w:lang w:val="pl-PL"/>
        </w:rPr>
      </w:pPr>
    </w:p>
    <w:p w14:paraId="4D48AF0D" w14:textId="77777777" w:rsidR="00A05FCA" w:rsidRDefault="00A05FCA" w:rsidP="00A05FCA">
      <w:pPr>
        <w:autoSpaceDE w:val="0"/>
        <w:rPr>
          <w:rFonts w:ascii="Arial" w:hAnsi="Arial" w:cs="Arial"/>
          <w:i/>
          <w:sz w:val="22"/>
          <w:szCs w:val="22"/>
          <w:lang w:val="pl-PL"/>
        </w:rPr>
      </w:pPr>
    </w:p>
    <w:p w14:paraId="4CBA0BD6" w14:textId="77777777" w:rsidR="000B1463" w:rsidRDefault="000B1463" w:rsidP="00ED2BEA">
      <w:pPr>
        <w:rPr>
          <w:rFonts w:ascii="Arial" w:hAnsi="Arial" w:cs="Arial"/>
          <w:i/>
          <w:sz w:val="22"/>
          <w:szCs w:val="22"/>
          <w:lang w:val="pl-PL"/>
        </w:rPr>
      </w:pPr>
    </w:p>
    <w:tbl>
      <w:tblPr>
        <w:tblW w:w="0" w:type="auto"/>
        <w:tblInd w:w="-12" w:type="dxa"/>
        <w:tblLayout w:type="fixed"/>
        <w:tblLook w:val="0000" w:firstRow="0" w:lastRow="0" w:firstColumn="0" w:lastColumn="0" w:noHBand="0" w:noVBand="0"/>
      </w:tblPr>
      <w:tblGrid>
        <w:gridCol w:w="1320"/>
        <w:gridCol w:w="3151"/>
        <w:gridCol w:w="240"/>
      </w:tblGrid>
      <w:tr w:rsidR="007A3385" w:rsidRPr="005B4A9F" w14:paraId="17F79621" w14:textId="77777777" w:rsidTr="00544E94">
        <w:tc>
          <w:tcPr>
            <w:tcW w:w="1320" w:type="dxa"/>
          </w:tcPr>
          <w:bookmarkEnd w:id="0"/>
          <w:p w14:paraId="61EAB86D" w14:textId="77777777" w:rsidR="007A3385" w:rsidRPr="005B4A9F" w:rsidRDefault="007A3385" w:rsidP="00544E94">
            <w:pPr>
              <w:rPr>
                <w:rFonts w:ascii="Arial" w:hAnsi="Arial" w:cs="Arial"/>
                <w:sz w:val="22"/>
                <w:lang w:val="pl-PL" w:eastAsia="ar-SA"/>
              </w:rPr>
            </w:pPr>
            <w:r w:rsidRPr="005B4A9F">
              <w:rPr>
                <w:rFonts w:ascii="Arial" w:hAnsi="Arial" w:cs="Arial"/>
                <w:b/>
                <w:sz w:val="22"/>
                <w:szCs w:val="22"/>
                <w:lang w:val="pl-PL" w:eastAsia="ar-SA"/>
              </w:rPr>
              <w:t>Kontakt:</w:t>
            </w:r>
          </w:p>
        </w:tc>
        <w:tc>
          <w:tcPr>
            <w:tcW w:w="3151" w:type="dxa"/>
          </w:tcPr>
          <w:p w14:paraId="04B20B56" w14:textId="77777777" w:rsidR="007A3385" w:rsidRPr="005B4A9F" w:rsidRDefault="007A3385" w:rsidP="00544E94">
            <w:pPr>
              <w:rPr>
                <w:rFonts w:ascii="Arial" w:hAnsi="Arial" w:cs="Arial"/>
                <w:sz w:val="22"/>
                <w:lang w:val="pl-PL" w:eastAsia="ar-SA"/>
              </w:rPr>
            </w:pPr>
            <w:r w:rsidRPr="005B4A9F">
              <w:rPr>
                <w:rFonts w:ascii="Arial" w:hAnsi="Arial" w:cs="Arial"/>
                <w:sz w:val="22"/>
                <w:szCs w:val="22"/>
                <w:lang w:val="pl-PL" w:eastAsia="ar-SA"/>
              </w:rPr>
              <w:t>Mariusz Jasiński</w:t>
            </w:r>
          </w:p>
        </w:tc>
        <w:tc>
          <w:tcPr>
            <w:tcW w:w="240" w:type="dxa"/>
          </w:tcPr>
          <w:p w14:paraId="3D699EA3" w14:textId="77777777" w:rsidR="007A3385" w:rsidRPr="005B4A9F" w:rsidRDefault="007A3385" w:rsidP="00544E94">
            <w:pPr>
              <w:snapToGrid w:val="0"/>
              <w:rPr>
                <w:rFonts w:ascii="Arial" w:hAnsi="Arial" w:cs="Arial"/>
                <w:sz w:val="22"/>
                <w:lang w:val="pl-PL" w:eastAsia="ar-SA"/>
              </w:rPr>
            </w:pPr>
          </w:p>
        </w:tc>
      </w:tr>
      <w:tr w:rsidR="007A3385" w:rsidRPr="00116575" w14:paraId="64A7CA37" w14:textId="77777777" w:rsidTr="00544E94">
        <w:tc>
          <w:tcPr>
            <w:tcW w:w="1320" w:type="dxa"/>
          </w:tcPr>
          <w:p w14:paraId="10472B56" w14:textId="77777777" w:rsidR="007A3385" w:rsidRPr="005B4A9F" w:rsidRDefault="007A3385" w:rsidP="00544E94">
            <w:pPr>
              <w:snapToGrid w:val="0"/>
              <w:rPr>
                <w:rFonts w:ascii="Arial" w:hAnsi="Arial" w:cs="Arial"/>
                <w:sz w:val="22"/>
                <w:lang w:val="pl-PL" w:eastAsia="ar-SA"/>
              </w:rPr>
            </w:pPr>
          </w:p>
        </w:tc>
        <w:tc>
          <w:tcPr>
            <w:tcW w:w="3151" w:type="dxa"/>
          </w:tcPr>
          <w:p w14:paraId="15563053" w14:textId="77777777" w:rsidR="007A3385" w:rsidRPr="005B4A9F" w:rsidRDefault="007A3385" w:rsidP="00544E94">
            <w:pPr>
              <w:rPr>
                <w:rFonts w:ascii="Arial" w:hAnsi="Arial" w:cs="Arial"/>
                <w:sz w:val="22"/>
                <w:lang w:val="pl-PL" w:eastAsia="ar-SA"/>
              </w:rPr>
            </w:pPr>
            <w:r w:rsidRPr="005B4A9F">
              <w:rPr>
                <w:rFonts w:ascii="Arial" w:hAnsi="Arial" w:cs="Arial"/>
                <w:sz w:val="22"/>
                <w:szCs w:val="22"/>
                <w:lang w:val="pl-PL" w:eastAsia="ar-SA"/>
              </w:rPr>
              <w:t xml:space="preserve">Ford Polska Sp. z o.o.  </w:t>
            </w:r>
          </w:p>
        </w:tc>
        <w:tc>
          <w:tcPr>
            <w:tcW w:w="240" w:type="dxa"/>
          </w:tcPr>
          <w:p w14:paraId="2688AED4" w14:textId="77777777" w:rsidR="007A3385" w:rsidRPr="005B4A9F" w:rsidRDefault="007A3385" w:rsidP="00544E94">
            <w:pPr>
              <w:snapToGrid w:val="0"/>
              <w:rPr>
                <w:rFonts w:ascii="Arial" w:hAnsi="Arial" w:cs="Arial"/>
                <w:sz w:val="22"/>
                <w:lang w:val="pl-PL" w:eastAsia="ar-SA"/>
              </w:rPr>
            </w:pPr>
          </w:p>
        </w:tc>
      </w:tr>
      <w:tr w:rsidR="007A3385" w:rsidRPr="005B4A9F" w14:paraId="37A5BC18" w14:textId="77777777" w:rsidTr="00544E94">
        <w:tc>
          <w:tcPr>
            <w:tcW w:w="1320" w:type="dxa"/>
          </w:tcPr>
          <w:p w14:paraId="14057999" w14:textId="77777777" w:rsidR="007A3385" w:rsidRPr="005B4A9F" w:rsidRDefault="007A3385" w:rsidP="00544E94">
            <w:pPr>
              <w:snapToGrid w:val="0"/>
              <w:rPr>
                <w:rFonts w:ascii="Arial" w:hAnsi="Arial" w:cs="Arial"/>
                <w:sz w:val="22"/>
                <w:lang w:val="pl-PL" w:eastAsia="ar-SA"/>
              </w:rPr>
            </w:pPr>
          </w:p>
        </w:tc>
        <w:tc>
          <w:tcPr>
            <w:tcW w:w="3151" w:type="dxa"/>
          </w:tcPr>
          <w:p w14:paraId="31169F5A" w14:textId="77777777" w:rsidR="007A3385" w:rsidRPr="005B4A9F" w:rsidRDefault="007A3385" w:rsidP="00544E94">
            <w:pPr>
              <w:rPr>
                <w:rFonts w:ascii="Arial" w:hAnsi="Arial" w:cs="Arial"/>
                <w:sz w:val="22"/>
                <w:lang w:val="pl-PL" w:eastAsia="ar-SA"/>
              </w:rPr>
            </w:pPr>
            <w:r>
              <w:rPr>
                <w:rFonts w:ascii="Arial" w:hAnsi="Arial" w:cs="Arial"/>
                <w:sz w:val="22"/>
                <w:szCs w:val="22"/>
                <w:lang w:val="pl-PL" w:eastAsia="ar-SA"/>
              </w:rPr>
              <w:t>(</w:t>
            </w:r>
            <w:r w:rsidRPr="005B4A9F">
              <w:rPr>
                <w:rFonts w:ascii="Arial" w:hAnsi="Arial" w:cs="Arial"/>
                <w:sz w:val="22"/>
                <w:szCs w:val="22"/>
                <w:lang w:val="pl-PL" w:eastAsia="ar-SA"/>
              </w:rPr>
              <w:t>22</w:t>
            </w:r>
            <w:r>
              <w:rPr>
                <w:rFonts w:ascii="Arial" w:hAnsi="Arial" w:cs="Arial"/>
                <w:sz w:val="22"/>
                <w:szCs w:val="22"/>
                <w:lang w:val="pl-PL" w:eastAsia="ar-SA"/>
              </w:rPr>
              <w:t>)</w:t>
            </w:r>
            <w:r w:rsidRPr="005B4A9F">
              <w:rPr>
                <w:rFonts w:ascii="Arial" w:hAnsi="Arial" w:cs="Arial"/>
                <w:sz w:val="22"/>
                <w:szCs w:val="22"/>
                <w:lang w:val="pl-PL" w:eastAsia="ar-SA"/>
              </w:rPr>
              <w:t xml:space="preserve"> 6086815   </w:t>
            </w:r>
          </w:p>
        </w:tc>
        <w:tc>
          <w:tcPr>
            <w:tcW w:w="240" w:type="dxa"/>
          </w:tcPr>
          <w:p w14:paraId="4BEBFF16" w14:textId="77777777" w:rsidR="007A3385" w:rsidRPr="005B4A9F" w:rsidRDefault="007A3385" w:rsidP="00544E94">
            <w:pPr>
              <w:snapToGrid w:val="0"/>
              <w:rPr>
                <w:rFonts w:ascii="Arial" w:hAnsi="Arial" w:cs="Arial"/>
                <w:sz w:val="22"/>
                <w:lang w:val="pl-PL" w:eastAsia="ar-SA"/>
              </w:rPr>
            </w:pPr>
          </w:p>
        </w:tc>
      </w:tr>
    </w:tbl>
    <w:p w14:paraId="6C2DBB09" w14:textId="77777777" w:rsidR="007A3385" w:rsidRPr="00354862" w:rsidRDefault="007A3385" w:rsidP="00354862">
      <w:pPr>
        <w:ind w:left="720" w:firstLine="720"/>
        <w:rPr>
          <w:rFonts w:ascii="Arial" w:hAnsi="Arial" w:cs="Arial"/>
          <w:i/>
          <w:sz w:val="22"/>
          <w:szCs w:val="22"/>
          <w:lang w:val="pl-PL"/>
        </w:rPr>
      </w:pPr>
      <w:r w:rsidRPr="005B4A9F">
        <w:rPr>
          <w:rFonts w:ascii="Arial" w:hAnsi="Arial" w:cs="Arial"/>
          <w:sz w:val="22"/>
          <w:szCs w:val="22"/>
          <w:u w:val="single"/>
          <w:lang w:val="pl-PL" w:eastAsia="ar-SA"/>
        </w:rPr>
        <w:t>mjasinsk@ford.com</w:t>
      </w:r>
    </w:p>
    <w:p w14:paraId="316D2BB3" w14:textId="77777777" w:rsidR="0078699F" w:rsidRDefault="0078699F">
      <w:pPr>
        <w:autoSpaceDE w:val="0"/>
        <w:rPr>
          <w:rFonts w:ascii="Arial" w:hAnsi="Arial" w:cs="Arial"/>
          <w:i/>
          <w:sz w:val="22"/>
          <w:szCs w:val="22"/>
          <w:lang w:val="pl-PL"/>
        </w:rPr>
      </w:pPr>
    </w:p>
    <w:sectPr w:rsidR="0078699F">
      <w:footerReference w:type="default" r:id="rId11"/>
      <w:headerReference w:type="first" r:id="rId12"/>
      <w:footerReference w:type="first" r:id="rId13"/>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743D8" w14:textId="77777777" w:rsidR="00DD6B92" w:rsidRDefault="00DD6B92">
      <w:r>
        <w:separator/>
      </w:r>
    </w:p>
  </w:endnote>
  <w:endnote w:type="continuationSeparator" w:id="0">
    <w:p w14:paraId="41633F41" w14:textId="77777777" w:rsidR="00DD6B92" w:rsidRDefault="00DD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Arial">
    <w:panose1 w:val="00000000000000000000"/>
    <w:charset w:val="00"/>
    <w:family w:val="roman"/>
    <w:notTrueType/>
    <w:pitch w:val="default"/>
  </w:font>
  <w:font w:name="HelveticaNeueLTPro-BdEx">
    <w:altName w:val="Arial"/>
    <w:charset w:val="01"/>
    <w:family w:val="roman"/>
    <w:pitch w:val="default"/>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2C1A" w14:textId="77777777" w:rsidR="0078699F" w:rsidRDefault="003C7F75">
    <w:pPr>
      <w:pStyle w:val="Stopka"/>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116575" w14:paraId="60698CEF" w14:textId="77777777">
      <w:tc>
        <w:tcPr>
          <w:tcW w:w="9468" w:type="dxa"/>
          <w:shd w:val="clear" w:color="auto" w:fill="auto"/>
        </w:tcPr>
        <w:p w14:paraId="73C4B19E" w14:textId="77777777" w:rsidR="0078699F" w:rsidRDefault="0078699F">
          <w:pPr>
            <w:pStyle w:val="Stopka"/>
            <w:snapToGrid w:val="0"/>
            <w:jc w:val="center"/>
            <w:rPr>
              <w:rFonts w:ascii="Arial" w:hAnsi="Arial" w:cs="Arial"/>
              <w:lang w:val="pl-PL"/>
            </w:rPr>
          </w:pPr>
        </w:p>
        <w:p w14:paraId="5BDEE1DF" w14:textId="77777777" w:rsidR="0078699F" w:rsidRDefault="0078699F">
          <w:pPr>
            <w:pStyle w:val="Stopka"/>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
            <w:snapToGrid w:val="0"/>
            <w:rPr>
              <w:lang w:val="pl-PL"/>
            </w:rPr>
          </w:pPr>
        </w:p>
      </w:tc>
    </w:tr>
  </w:tbl>
  <w:p w14:paraId="4C5085B0" w14:textId="77777777" w:rsidR="0078699F" w:rsidRDefault="0078699F">
    <w:pPr>
      <w:pStyle w:val="Stopka"/>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B5B1" w14:textId="77777777" w:rsidR="0078699F" w:rsidRDefault="0078699F">
    <w:pPr>
      <w:pStyle w:val="Stopka"/>
      <w:jc w:val="center"/>
      <w:rPr>
        <w:lang w:val="pl-PL"/>
      </w:rPr>
    </w:pPr>
  </w:p>
  <w:p w14:paraId="2B28129B" w14:textId="77777777" w:rsidR="0078699F" w:rsidRDefault="0078699F">
    <w:pPr>
      <w:pStyle w:val="Stopka"/>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
      <w:jc w:val="center"/>
      <w:rPr>
        <w:lang w:val="pl-PL"/>
      </w:rPr>
    </w:pPr>
    <w:r>
      <w:rPr>
        <w:rFonts w:ascii="Arial" w:eastAsia="Calibri" w:hAnsi="Arial" w:cs="Arial"/>
        <w:color w:val="000000"/>
        <w:sz w:val="18"/>
        <w:szCs w:val="18"/>
        <w:lang w:val="pl-PL"/>
      </w:rPr>
      <w:t xml:space="preserve">Śledź nas na: </w:t>
    </w:r>
    <w:r w:rsidR="00DD6B92">
      <w:fldChar w:fldCharType="begin"/>
    </w:r>
    <w:r w:rsidR="00DD6B92" w:rsidRPr="00116575">
      <w:rPr>
        <w:lang w:val="pl-PL"/>
      </w:rPr>
      <w:instrText xml:space="preserve"> HYPERLINK "http://www.twitter.com/FordEu" \h </w:instrText>
    </w:r>
    <w:r w:rsidR="00DD6B92">
      <w:fldChar w:fldCharType="separate"/>
    </w:r>
    <w:r>
      <w:rPr>
        <w:rStyle w:val="czeinternetowe"/>
        <w:rFonts w:ascii="Arial" w:eastAsia="Calibri" w:hAnsi="Arial" w:cs="Arial"/>
        <w:sz w:val="18"/>
        <w:szCs w:val="18"/>
        <w:lang w:val="pl-PL"/>
      </w:rPr>
      <w:t xml:space="preserve">www.twitter.com/FordEu </w:t>
    </w:r>
    <w:r w:rsidR="00DD6B92">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CBD7E" w14:textId="77777777" w:rsidR="00DD6B92" w:rsidRDefault="00DD6B92">
      <w:r>
        <w:separator/>
      </w:r>
    </w:p>
  </w:footnote>
  <w:footnote w:type="continuationSeparator" w:id="0">
    <w:p w14:paraId="04D2387F" w14:textId="77777777" w:rsidR="00DD6B92" w:rsidRDefault="00DD6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69C5" w14:textId="45A3E61C"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Yy3g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" o:button="t" filled="f" stroked="f">
              <v:fill o:detectmouseclick="t"/>
              <v:textbox inset="0,0,0,0">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8BFF8"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7E2"/>
    <w:multiLevelType w:val="multilevel"/>
    <w:tmpl w:val="D390DBFA"/>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5444E"/>
    <w:multiLevelType w:val="multilevel"/>
    <w:tmpl w:val="5510A9F8"/>
    <w:lvl w:ilvl="0">
      <w:start w:val="1"/>
      <w:numFmt w:val="bullet"/>
      <w:lvlText w:val=""/>
      <w:lvlJc w:val="left"/>
      <w:pPr>
        <w:ind w:left="36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45470D"/>
    <w:multiLevelType w:val="multilevel"/>
    <w:tmpl w:val="FB905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C9077F"/>
    <w:multiLevelType w:val="multilevel"/>
    <w:tmpl w:val="922E61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22E1629"/>
    <w:multiLevelType w:val="multilevel"/>
    <w:tmpl w:val="D4C41A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B8D1EBD"/>
    <w:multiLevelType w:val="multilevel"/>
    <w:tmpl w:val="E3422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7C54C1"/>
    <w:multiLevelType w:val="multilevel"/>
    <w:tmpl w:val="5FACB2AE"/>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B03E7D"/>
    <w:multiLevelType w:val="multilevel"/>
    <w:tmpl w:val="083057E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25A431C8"/>
    <w:multiLevelType w:val="multilevel"/>
    <w:tmpl w:val="F3E8A35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2A18270F"/>
    <w:multiLevelType w:val="multilevel"/>
    <w:tmpl w:val="251AB61A"/>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301590E"/>
    <w:multiLevelType w:val="multilevel"/>
    <w:tmpl w:val="78F826CE"/>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65941BD"/>
    <w:multiLevelType w:val="multilevel"/>
    <w:tmpl w:val="4D9256A6"/>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2811A89"/>
    <w:multiLevelType w:val="multilevel"/>
    <w:tmpl w:val="625C02DE"/>
    <w:lvl w:ilvl="0">
      <w:start w:val="1"/>
      <w:numFmt w:val="bullet"/>
      <w:lvlText w:val=""/>
      <w:lvlJc w:val="left"/>
      <w:pPr>
        <w:ind w:left="720" w:hanging="360"/>
      </w:pPr>
      <w:rPr>
        <w:rFonts w:ascii="Symbol" w:hAnsi="Symbol" w:cs="Symbol" w:hint="default"/>
        <w:sz w:val="22"/>
        <w:szCs w:val="22"/>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75D7140"/>
    <w:multiLevelType w:val="multilevel"/>
    <w:tmpl w:val="F8740D30"/>
    <w:lvl w:ilvl="0">
      <w:start w:val="1"/>
      <w:numFmt w:val="bullet"/>
      <w:lvlText w:val=""/>
      <w:lvlJc w:val="left"/>
      <w:pPr>
        <w:tabs>
          <w:tab w:val="num" w:pos="720"/>
        </w:tabs>
        <w:ind w:left="720" w:hanging="360"/>
      </w:pPr>
      <w:rPr>
        <w:rFonts w:ascii="Symbol" w:hAnsi="Symbol" w:cs="Symbol" w:hint="default"/>
        <w:sz w:val="22"/>
        <w:szCs w:val="22"/>
        <w:lang w:eastAsia="en-GB"/>
      </w:rPr>
    </w:lvl>
    <w:lvl w:ilvl="1">
      <w:start w:val="1"/>
      <w:numFmt w:val="bullet"/>
      <w:lvlText w:val=""/>
      <w:lvlJc w:val="left"/>
      <w:pPr>
        <w:tabs>
          <w:tab w:val="num" w:pos="1440"/>
        </w:tabs>
        <w:ind w:left="1440" w:hanging="360"/>
      </w:pPr>
      <w:rPr>
        <w:rFonts w:ascii="Symbol" w:hAnsi="Symbol" w:cs="Symbol" w:hint="default"/>
        <w:sz w:val="22"/>
        <w:szCs w:val="22"/>
        <w:lang w:eastAsia="en-GB"/>
      </w:rPr>
    </w:lvl>
    <w:lvl w:ilvl="2">
      <w:start w:val="1"/>
      <w:numFmt w:val="bullet"/>
      <w:lvlText w:val=""/>
      <w:lvlJc w:val="left"/>
      <w:pPr>
        <w:tabs>
          <w:tab w:val="num" w:pos="2160"/>
        </w:tabs>
        <w:ind w:left="2160" w:hanging="360"/>
      </w:pPr>
      <w:rPr>
        <w:rFonts w:ascii="Symbol" w:hAnsi="Symbol" w:cs="Symbol" w:hint="default"/>
        <w:sz w:val="22"/>
        <w:szCs w:val="22"/>
        <w:lang w:eastAsia="en-GB"/>
      </w:rPr>
    </w:lvl>
    <w:lvl w:ilvl="3">
      <w:start w:val="1"/>
      <w:numFmt w:val="bullet"/>
      <w:lvlText w:val=""/>
      <w:lvlJc w:val="left"/>
      <w:pPr>
        <w:tabs>
          <w:tab w:val="num" w:pos="2880"/>
        </w:tabs>
        <w:ind w:left="2880" w:hanging="360"/>
      </w:pPr>
      <w:rPr>
        <w:rFonts w:ascii="Symbol" w:hAnsi="Symbol" w:cs="Symbol" w:hint="default"/>
        <w:sz w:val="22"/>
        <w:szCs w:val="22"/>
        <w:lang w:eastAsia="en-GB"/>
      </w:rPr>
    </w:lvl>
    <w:lvl w:ilvl="4">
      <w:start w:val="1"/>
      <w:numFmt w:val="bullet"/>
      <w:lvlText w:val=""/>
      <w:lvlJc w:val="left"/>
      <w:pPr>
        <w:tabs>
          <w:tab w:val="num" w:pos="3600"/>
        </w:tabs>
        <w:ind w:left="3600" w:hanging="360"/>
      </w:pPr>
      <w:rPr>
        <w:rFonts w:ascii="Symbol" w:hAnsi="Symbol" w:cs="Symbol" w:hint="default"/>
        <w:sz w:val="22"/>
        <w:szCs w:val="22"/>
        <w:lang w:eastAsia="en-GB"/>
      </w:rPr>
    </w:lvl>
    <w:lvl w:ilvl="5">
      <w:start w:val="1"/>
      <w:numFmt w:val="bullet"/>
      <w:lvlText w:val=""/>
      <w:lvlJc w:val="left"/>
      <w:pPr>
        <w:tabs>
          <w:tab w:val="num" w:pos="4320"/>
        </w:tabs>
        <w:ind w:left="4320" w:hanging="360"/>
      </w:pPr>
      <w:rPr>
        <w:rFonts w:ascii="Symbol" w:hAnsi="Symbol" w:cs="Symbol" w:hint="default"/>
        <w:sz w:val="22"/>
        <w:szCs w:val="22"/>
        <w:lang w:eastAsia="en-GB"/>
      </w:rPr>
    </w:lvl>
    <w:lvl w:ilvl="6">
      <w:start w:val="1"/>
      <w:numFmt w:val="bullet"/>
      <w:lvlText w:val=""/>
      <w:lvlJc w:val="left"/>
      <w:pPr>
        <w:tabs>
          <w:tab w:val="num" w:pos="5040"/>
        </w:tabs>
        <w:ind w:left="5040" w:hanging="360"/>
      </w:pPr>
      <w:rPr>
        <w:rFonts w:ascii="Symbol" w:hAnsi="Symbol" w:cs="Symbol" w:hint="default"/>
        <w:sz w:val="22"/>
        <w:szCs w:val="22"/>
        <w:lang w:eastAsia="en-GB"/>
      </w:rPr>
    </w:lvl>
    <w:lvl w:ilvl="7">
      <w:start w:val="1"/>
      <w:numFmt w:val="bullet"/>
      <w:lvlText w:val=""/>
      <w:lvlJc w:val="left"/>
      <w:pPr>
        <w:tabs>
          <w:tab w:val="num" w:pos="5760"/>
        </w:tabs>
        <w:ind w:left="5760" w:hanging="360"/>
      </w:pPr>
      <w:rPr>
        <w:rFonts w:ascii="Symbol" w:hAnsi="Symbol" w:cs="Symbol" w:hint="default"/>
        <w:sz w:val="22"/>
        <w:szCs w:val="22"/>
        <w:lang w:eastAsia="en-GB"/>
      </w:rPr>
    </w:lvl>
    <w:lvl w:ilvl="8">
      <w:start w:val="1"/>
      <w:numFmt w:val="bullet"/>
      <w:lvlText w:val=""/>
      <w:lvlJc w:val="left"/>
      <w:pPr>
        <w:tabs>
          <w:tab w:val="num" w:pos="6480"/>
        </w:tabs>
        <w:ind w:left="6480" w:hanging="360"/>
      </w:pPr>
      <w:rPr>
        <w:rFonts w:ascii="Symbol" w:hAnsi="Symbol" w:cs="Symbol" w:hint="default"/>
        <w:sz w:val="22"/>
        <w:szCs w:val="22"/>
        <w:lang w:eastAsia="en-GB"/>
      </w:rPr>
    </w:lvl>
  </w:abstractNum>
  <w:abstractNum w:abstractNumId="14" w15:restartNumberingAfterBreak="0">
    <w:nsid w:val="48D311BE"/>
    <w:multiLevelType w:val="multilevel"/>
    <w:tmpl w:val="B20868F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B3575A0"/>
    <w:multiLevelType w:val="multilevel"/>
    <w:tmpl w:val="8E5CC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07F62A7"/>
    <w:multiLevelType w:val="multilevel"/>
    <w:tmpl w:val="F89E6F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0DB1CB1"/>
    <w:multiLevelType w:val="multilevel"/>
    <w:tmpl w:val="D0DC215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19D4A35"/>
    <w:multiLevelType w:val="multilevel"/>
    <w:tmpl w:val="491AE260"/>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33018C9"/>
    <w:multiLevelType w:val="multilevel"/>
    <w:tmpl w:val="0F78C7F8"/>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BE662C1"/>
    <w:multiLevelType w:val="multilevel"/>
    <w:tmpl w:val="BF407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D9708F0"/>
    <w:multiLevelType w:val="multilevel"/>
    <w:tmpl w:val="3872FFA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704558BC"/>
    <w:multiLevelType w:val="multilevel"/>
    <w:tmpl w:val="BDB69E5A"/>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1DB1F69"/>
    <w:multiLevelType w:val="multilevel"/>
    <w:tmpl w:val="544C65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7CB74152"/>
    <w:multiLevelType w:val="multilevel"/>
    <w:tmpl w:val="49A83876"/>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EF41CC1"/>
    <w:multiLevelType w:val="multilevel"/>
    <w:tmpl w:val="99700DD8"/>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FFD5F52"/>
    <w:multiLevelType w:val="multilevel"/>
    <w:tmpl w:val="34E0F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0"/>
  </w:num>
  <w:num w:numId="12">
    <w:abstractNumId w:val="21"/>
  </w:num>
  <w:num w:numId="13">
    <w:abstractNumId w:val="15"/>
  </w:num>
  <w:num w:numId="14">
    <w:abstractNumId w:val="1"/>
  </w:num>
  <w:num w:numId="15">
    <w:abstractNumId w:val="26"/>
  </w:num>
  <w:num w:numId="16">
    <w:abstractNumId w:val="5"/>
  </w:num>
  <w:num w:numId="17">
    <w:abstractNumId w:val="2"/>
  </w:num>
  <w:num w:numId="18">
    <w:abstractNumId w:val="7"/>
  </w:num>
  <w:num w:numId="19">
    <w:abstractNumId w:val="23"/>
  </w:num>
  <w:num w:numId="20">
    <w:abstractNumId w:val="25"/>
  </w:num>
  <w:num w:numId="21">
    <w:abstractNumId w:val="11"/>
  </w:num>
  <w:num w:numId="22">
    <w:abstractNumId w:val="14"/>
  </w:num>
  <w:num w:numId="23">
    <w:abstractNumId w:val="8"/>
  </w:num>
  <w:num w:numId="24">
    <w:abstractNumId w:val="4"/>
  </w:num>
  <w:num w:numId="25">
    <w:abstractNumId w:val="3"/>
  </w:num>
  <w:num w:numId="26">
    <w:abstractNumId w:val="16"/>
  </w:num>
  <w:num w:numId="2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70998"/>
    <w:rsid w:val="0008239F"/>
    <w:rsid w:val="000A302A"/>
    <w:rsid w:val="000B1463"/>
    <w:rsid w:val="000C5B0E"/>
    <w:rsid w:val="000D0536"/>
    <w:rsid w:val="000D1FDB"/>
    <w:rsid w:val="00104CD7"/>
    <w:rsid w:val="00106BA5"/>
    <w:rsid w:val="0010756F"/>
    <w:rsid w:val="00111E3B"/>
    <w:rsid w:val="00116575"/>
    <w:rsid w:val="00123DA9"/>
    <w:rsid w:val="0013097E"/>
    <w:rsid w:val="00153A6D"/>
    <w:rsid w:val="00193F53"/>
    <w:rsid w:val="001976D1"/>
    <w:rsid w:val="001A5A05"/>
    <w:rsid w:val="001C1A6C"/>
    <w:rsid w:val="001C5108"/>
    <w:rsid w:val="0020173F"/>
    <w:rsid w:val="002160FA"/>
    <w:rsid w:val="00220308"/>
    <w:rsid w:val="00235A84"/>
    <w:rsid w:val="00236E2D"/>
    <w:rsid w:val="00243B0D"/>
    <w:rsid w:val="00243F8B"/>
    <w:rsid w:val="00273A8B"/>
    <w:rsid w:val="002823D9"/>
    <w:rsid w:val="00291048"/>
    <w:rsid w:val="0029464F"/>
    <w:rsid w:val="002A4EFF"/>
    <w:rsid w:val="002B4EE0"/>
    <w:rsid w:val="002E2656"/>
    <w:rsid w:val="002F5335"/>
    <w:rsid w:val="003064BB"/>
    <w:rsid w:val="0030794E"/>
    <w:rsid w:val="00334066"/>
    <w:rsid w:val="00342ECF"/>
    <w:rsid w:val="00347D78"/>
    <w:rsid w:val="00354862"/>
    <w:rsid w:val="003744AA"/>
    <w:rsid w:val="003906E4"/>
    <w:rsid w:val="003A17FF"/>
    <w:rsid w:val="003A6DCC"/>
    <w:rsid w:val="003C7F75"/>
    <w:rsid w:val="003F30D8"/>
    <w:rsid w:val="003F4449"/>
    <w:rsid w:val="004012C6"/>
    <w:rsid w:val="00414E78"/>
    <w:rsid w:val="00444FC9"/>
    <w:rsid w:val="0046178E"/>
    <w:rsid w:val="004660CF"/>
    <w:rsid w:val="004863C8"/>
    <w:rsid w:val="004A62C9"/>
    <w:rsid w:val="004D477B"/>
    <w:rsid w:val="004E6D58"/>
    <w:rsid w:val="00501CC4"/>
    <w:rsid w:val="00522DAE"/>
    <w:rsid w:val="0052769E"/>
    <w:rsid w:val="005305A3"/>
    <w:rsid w:val="00555CD4"/>
    <w:rsid w:val="00564C82"/>
    <w:rsid w:val="0056598E"/>
    <w:rsid w:val="005730E2"/>
    <w:rsid w:val="005802B6"/>
    <w:rsid w:val="005867C0"/>
    <w:rsid w:val="005968FF"/>
    <w:rsid w:val="005A302A"/>
    <w:rsid w:val="005A3CDA"/>
    <w:rsid w:val="005C1845"/>
    <w:rsid w:val="005D25C5"/>
    <w:rsid w:val="005D63BF"/>
    <w:rsid w:val="005D70B0"/>
    <w:rsid w:val="00610994"/>
    <w:rsid w:val="00615575"/>
    <w:rsid w:val="00617396"/>
    <w:rsid w:val="00623246"/>
    <w:rsid w:val="00663631"/>
    <w:rsid w:val="00681E06"/>
    <w:rsid w:val="006A0986"/>
    <w:rsid w:val="006A5B83"/>
    <w:rsid w:val="006C004A"/>
    <w:rsid w:val="006D783E"/>
    <w:rsid w:val="006D7FCC"/>
    <w:rsid w:val="0072149B"/>
    <w:rsid w:val="00721799"/>
    <w:rsid w:val="00730A31"/>
    <w:rsid w:val="00732EEE"/>
    <w:rsid w:val="00737ADC"/>
    <w:rsid w:val="0074017F"/>
    <w:rsid w:val="007642C3"/>
    <w:rsid w:val="00777BDD"/>
    <w:rsid w:val="0078699F"/>
    <w:rsid w:val="007A008F"/>
    <w:rsid w:val="007A3385"/>
    <w:rsid w:val="007A402C"/>
    <w:rsid w:val="007A63C2"/>
    <w:rsid w:val="007B24EA"/>
    <w:rsid w:val="007F0BD4"/>
    <w:rsid w:val="00802294"/>
    <w:rsid w:val="00802725"/>
    <w:rsid w:val="00812858"/>
    <w:rsid w:val="00822CDF"/>
    <w:rsid w:val="008442F5"/>
    <w:rsid w:val="008842C4"/>
    <w:rsid w:val="00890385"/>
    <w:rsid w:val="008A13D2"/>
    <w:rsid w:val="008A5AD6"/>
    <w:rsid w:val="008B0E48"/>
    <w:rsid w:val="008D0176"/>
    <w:rsid w:val="008F2C84"/>
    <w:rsid w:val="00915841"/>
    <w:rsid w:val="00946702"/>
    <w:rsid w:val="009547D1"/>
    <w:rsid w:val="009559A8"/>
    <w:rsid w:val="009C4416"/>
    <w:rsid w:val="009E6275"/>
    <w:rsid w:val="009F319E"/>
    <w:rsid w:val="00A05FCA"/>
    <w:rsid w:val="00A140DD"/>
    <w:rsid w:val="00A40D4A"/>
    <w:rsid w:val="00A710DE"/>
    <w:rsid w:val="00A92E41"/>
    <w:rsid w:val="00A9318E"/>
    <w:rsid w:val="00AF67EE"/>
    <w:rsid w:val="00B01153"/>
    <w:rsid w:val="00B45F5A"/>
    <w:rsid w:val="00B47DA4"/>
    <w:rsid w:val="00B71190"/>
    <w:rsid w:val="00B73082"/>
    <w:rsid w:val="00B80111"/>
    <w:rsid w:val="00B924C6"/>
    <w:rsid w:val="00BC3E1A"/>
    <w:rsid w:val="00BD3B51"/>
    <w:rsid w:val="00BE22B5"/>
    <w:rsid w:val="00BF7D7C"/>
    <w:rsid w:val="00C2293F"/>
    <w:rsid w:val="00C33579"/>
    <w:rsid w:val="00C33FB9"/>
    <w:rsid w:val="00C42E20"/>
    <w:rsid w:val="00C60AB0"/>
    <w:rsid w:val="00C82DBA"/>
    <w:rsid w:val="00C95A33"/>
    <w:rsid w:val="00C95CE1"/>
    <w:rsid w:val="00C97B1F"/>
    <w:rsid w:val="00CC1618"/>
    <w:rsid w:val="00CC7C00"/>
    <w:rsid w:val="00CE4EA8"/>
    <w:rsid w:val="00D3413B"/>
    <w:rsid w:val="00D368C2"/>
    <w:rsid w:val="00D53480"/>
    <w:rsid w:val="00D751BF"/>
    <w:rsid w:val="00D76949"/>
    <w:rsid w:val="00D77FAD"/>
    <w:rsid w:val="00DA2533"/>
    <w:rsid w:val="00DB3D07"/>
    <w:rsid w:val="00DD366D"/>
    <w:rsid w:val="00DD3BA0"/>
    <w:rsid w:val="00DD6B92"/>
    <w:rsid w:val="00E11811"/>
    <w:rsid w:val="00E2012B"/>
    <w:rsid w:val="00E20D58"/>
    <w:rsid w:val="00E37655"/>
    <w:rsid w:val="00E5078A"/>
    <w:rsid w:val="00E569BF"/>
    <w:rsid w:val="00E7495F"/>
    <w:rsid w:val="00E8182E"/>
    <w:rsid w:val="00EA2106"/>
    <w:rsid w:val="00EC07EE"/>
    <w:rsid w:val="00EC0B39"/>
    <w:rsid w:val="00EC1F82"/>
    <w:rsid w:val="00EC2262"/>
    <w:rsid w:val="00ED1CC7"/>
    <w:rsid w:val="00ED2BEA"/>
    <w:rsid w:val="00ED7BE1"/>
    <w:rsid w:val="00EF5FB5"/>
    <w:rsid w:val="00F0045A"/>
    <w:rsid w:val="00F17586"/>
    <w:rsid w:val="00F814A5"/>
    <w:rsid w:val="00F82990"/>
    <w:rsid w:val="00F926BA"/>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
    <w:name w:val="Nagłówek 2"/>
    <w:basedOn w:val="Nagwek"/>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
    <w:name w:val="Nagłówek 3"/>
    <w:basedOn w:val="Nagwek"/>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
    <w:name w:val="Nagłówek"/>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
    <w:name w:val="Lista"/>
    <w:basedOn w:val="Tretekstu"/>
    <w:rPr>
      <w:rFonts w:ascii="Century" w:hAnsi="Century"/>
    </w:rPr>
  </w:style>
  <w:style w:type="paragraph" w:customStyle="1" w:styleId="Podpis">
    <w:name w:val="Podpis"/>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
    <w:name w:val="Stopka"/>
    <w:basedOn w:val="Normal"/>
    <w:pPr>
      <w:tabs>
        <w:tab w:val="center" w:pos="4320"/>
        <w:tab w:val="right" w:pos="8640"/>
      </w:tabs>
    </w:pPr>
  </w:style>
  <w:style w:type="paragraph" w:styleId="BodyText2">
    <w:name w:val="Body Text 2"/>
    <w:basedOn w:val="Normal"/>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
    <w:name w:val="Tytuł"/>
    <w:basedOn w:val="Nagwek"/>
    <w:next w:val="Tretekstu"/>
    <w:pPr>
      <w:jc w:val="center"/>
    </w:pPr>
    <w:rPr>
      <w:b/>
      <w:bCs/>
      <w:sz w:val="56"/>
      <w:szCs w:val="56"/>
    </w:rPr>
  </w:style>
  <w:style w:type="paragraph" w:customStyle="1" w:styleId="Podtytu">
    <w:name w:val="Podtytuł"/>
    <w:basedOn w:val="Nagwek"/>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nbc.com/2020/03/03/coronavirus-hand-sanitizer-sales-surge-leading-to-price-hike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rporate.ford.com/" TargetMode="External"/><Relationship Id="rId4" Type="http://schemas.openxmlformats.org/officeDocument/2006/relationships/settings" Target="settings.xml"/><Relationship Id="rId9" Type="http://schemas.openxmlformats.org/officeDocument/2006/relationships/hyperlink" Target="https://www.gminsights.com/industry-analysis/hand-sanitizer-mark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7D28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38C45-F19E-49A2-A3DA-6056574D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5118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Golebiowski, Andrzej (A.)</dc:creator>
  <cp:lastModifiedBy>Golebiowski, Andrzej (A.)</cp:lastModifiedBy>
  <cp:revision>4</cp:revision>
  <dcterms:created xsi:type="dcterms:W3CDTF">2020-06-18T13:33:00Z</dcterms:created>
  <dcterms:modified xsi:type="dcterms:W3CDTF">2020-06-19T07:14:00Z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