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69" w:rsidRPr="004D57F0" w:rsidRDefault="000A5560">
      <w:pPr>
        <w:pStyle w:val="NormalWeb"/>
        <w:pBdr>
          <w:bottom w:val="single" w:sz="6" w:space="1" w:color="00000A"/>
        </w:pBdr>
        <w:spacing w:beforeAutospacing="0" w:afterAutospacing="0"/>
        <w:rPr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Rozszerzona oferta modelu Ford Puma daje klientom większy wybór 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br/>
        <w:t>- od oszczędności po sportowy luksus</w:t>
      </w:r>
    </w:p>
    <w:p w:rsidR="007A0569" w:rsidRDefault="000A5560">
      <w:pPr>
        <w:pStyle w:val="BodyText2"/>
        <w:spacing w:line="240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23057EAD">
                <wp:extent cx="6087110" cy="37274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372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0569" w:rsidRDefault="000A5560">
                            <w:pPr>
                              <w:pStyle w:val="BodyText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Dostępne są również Puma ST-Line V, modele z silnikiem Diesla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>EcoBlue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 i siedmiobiegowymi przekładniami automatycznymi. </w:t>
                            </w:r>
                          </w:p>
                          <w:p w:rsidR="007A0569" w:rsidRPr="004D57F0" w:rsidRDefault="007A0569">
                            <w:pPr>
                              <w:pStyle w:val="Zawartoramki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57EAD" id="Rectangle 3" o:spid="_x0000_s1026" style="width:479.3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lT7AEAADAEAAAOAAAAZHJzL2Uyb0RvYy54bWysU1Fv2yAQfp+0/4B4X+w4W9ZFcapqVadJ&#10;01a12w8g+HCQgENAY+ff78Bu2m1PnfqC78x93/F9HNvL0Rp2hBA1upYvFzVn4CR22vUt//Xz5t0F&#10;ZzEJ1wmDDlp+gsgvd2/fbAe/gQYPaDoIjEhc3Ay+5YeU/KaqojyAFXGBHhxtKgxWJEpDX3VBDMRu&#10;TdXU9boaMHQ+oIQY6e/1tMl3hV8pkOmHUhESMy2ns6WyhrLu81rttmLTB+EPWs7HEP9xCiu0o6Zn&#10;qmuRBHsI+h8qq2XAiCotJNoKldISigZSs6z/UnN/EB6KFjIn+rNN8fVo5ffjbWC6a/mKMycsXdEd&#10;mSZcb4Ctsj2Djxuquve3Yc4ihVnrqILNX1LBxmLp6WwpjIlJ+rmuL9YfGnJe0t7qY9O8L55XT2gf&#10;YvoCaFkOWh6oe3FSHL/FRB2p9LEkN4todHejjSlJHhP4bAI7CrrgNC7ziQnxR5VxbGj5p9W6LsQO&#10;M3yqM47Ks8JJU4nSyUAmN+4OFFlTpE3dQr/Pzab5oQEnXY9TRE0LIBcq4n8hdoZkNJSxfSH+DCr9&#10;0aUz3mqHodjyTF0O07gf5xvdY3eiMUhfHY1WFjUHmczh1UNCpctdZNxUPPtGY1kMn59Qnvvneal6&#10;eui73wAAAP//AwBQSwMEFAAGAAgAAAAhAF4QIizbAAAABAEAAA8AAABkcnMvZG93bnJldi54bWxM&#10;j0FLw0AQhe+C/2EZwYvYjcGk25hNaQVBvLVKz9vsmESzsyG7aeO/d/Sil4HHe7z3TbmeXS9OOIbO&#10;k4a7RQICqfa2o0bD2+vTrQIRoiFrek+o4QsDrKvLi9IU1p9ph6d9bASXUCiMhjbGoZAy1C06ExZ+&#10;QGLv3Y/ORJZjI+1ozlzuepkmSS6d6YgXWjPgY4v1535yGg6b5map0my4D89psv2Y6pdtrrS+vpo3&#10;DyAizvEvDD/4jA4VMx39RDaIXgM/En8ve6tM5SCOGjK1BFmV8j989Q0AAP//AwBQSwECLQAUAAYA&#10;CAAAACEAtoM4kv4AAADhAQAAEwAAAAAAAAAAAAAAAAAAAAAAW0NvbnRlbnRfVHlwZXNdLnhtbFBL&#10;AQItABQABgAIAAAAIQA4/SH/1gAAAJQBAAALAAAAAAAAAAAAAAAAAC8BAABfcmVscy8ucmVsc1BL&#10;AQItABQABgAIAAAAIQDoxSlT7AEAADAEAAAOAAAAAAAAAAAAAAAAAC4CAABkcnMvZTJvRG9jLnht&#10;bFBLAQItABQABgAIAAAAIQBeECIs2wAAAAQBAAAPAAAAAAAAAAAAAAAAAEYEAABkcnMvZG93bnJl&#10;di54bWxQSwUGAAAAAAQABADzAAAATgUAAAAA&#10;" fillcolor="black [3213]" stroked="f" strokeweight=".26mm">
                <v:textbox inset=",0,,0">
                  <w:txbxContent>
                    <w:p w:rsidR="007A0569" w:rsidRDefault="000A5560">
                      <w:pPr>
                        <w:pStyle w:val="BodyText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  <w:lang w:val="pl-PL"/>
                        </w:rPr>
                      </w:pP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Dostępne są również Puma ST-Line V, modele z silnikiem Diesla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>EcoBlue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 i siedmiobiegowymi przekładniami automatycznymi. </w:t>
                      </w:r>
                    </w:p>
                    <w:p w:rsidR="007A0569" w:rsidRPr="004D57F0" w:rsidRDefault="007A0569">
                      <w:pPr>
                        <w:pStyle w:val="Zawartoramki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59690</wp:posOffset>
            </wp:positionV>
            <wp:extent cx="3004820" cy="2040890"/>
            <wp:effectExtent l="0" t="0" r="0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3054985" cy="2037715"/>
            <wp:effectExtent l="0" t="0" r="0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569" w:rsidRDefault="007A0569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7A0569" w:rsidRPr="0079084C" w:rsidRDefault="000A5560">
      <w:pPr>
        <w:pStyle w:val="BodyText2"/>
        <w:spacing w:line="240" w:lineRule="auto"/>
        <w:rPr>
          <w:sz w:val="22"/>
          <w:szCs w:val="22"/>
          <w:lang w:val="pl-PL"/>
        </w:rPr>
      </w:pPr>
      <w:r w:rsidRPr="0079084C">
        <w:rPr>
          <w:rFonts w:ascii="Arial" w:hAnsi="Arial" w:cs="Arial"/>
          <w:sz w:val="22"/>
          <w:szCs w:val="22"/>
          <w:lang w:val="pl-PL"/>
        </w:rPr>
        <w:t xml:space="preserve">Ford rozszerzył gamę wersji kompaktowego </w:t>
      </w:r>
      <w:proofErr w:type="spellStart"/>
      <w:r w:rsidRPr="0079084C">
        <w:rPr>
          <w:rFonts w:ascii="Arial" w:hAnsi="Arial" w:cs="Arial"/>
          <w:sz w:val="22"/>
          <w:szCs w:val="22"/>
          <w:lang w:val="pl-PL"/>
        </w:rPr>
        <w:t>crossovera</w:t>
      </w:r>
      <w:proofErr w:type="spellEnd"/>
      <w:r w:rsidRPr="0079084C">
        <w:rPr>
          <w:rFonts w:ascii="Arial" w:hAnsi="Arial" w:cs="Arial"/>
          <w:sz w:val="22"/>
          <w:szCs w:val="22"/>
          <w:lang w:val="pl-PL"/>
        </w:rPr>
        <w:t xml:space="preserve"> Puma o dodatkowe opcje układu napędowego i wyposażenia, dzięki czemu do salonów trafia wyjątkowo zróżnicowana oferta.</w:t>
      </w:r>
    </w:p>
    <w:p w:rsidR="007A0569" w:rsidRPr="0079084C" w:rsidRDefault="007A056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9084C">
        <w:rPr>
          <w:rFonts w:ascii="Arial" w:hAnsi="Arial" w:cs="Arial"/>
          <w:sz w:val="22"/>
          <w:szCs w:val="22"/>
          <w:lang w:val="pl-PL"/>
        </w:rPr>
        <w:t xml:space="preserve">Klienci mogą teraz po raz pierwszy wybierać pomiędzy wersjami Pumy, wyposażonymi w </w:t>
      </w:r>
      <w:bookmarkStart w:id="0" w:name="_Hlk32230495"/>
      <w:r w:rsidRPr="0079084C">
        <w:rPr>
          <w:rFonts w:ascii="Arial" w:hAnsi="Arial" w:cs="Arial"/>
          <w:b/>
          <w:sz w:val="22"/>
          <w:szCs w:val="22"/>
          <w:lang w:val="pl-PL"/>
        </w:rPr>
        <w:t xml:space="preserve">120-konny, 1,5-litrowy silnik wysokoprężny </w:t>
      </w:r>
      <w:proofErr w:type="spellStart"/>
      <w:r w:rsidRPr="0079084C">
        <w:rPr>
          <w:rFonts w:ascii="Arial" w:hAnsi="Arial" w:cs="Arial"/>
          <w:b/>
          <w:sz w:val="22"/>
          <w:szCs w:val="22"/>
          <w:lang w:val="pl-PL"/>
        </w:rPr>
        <w:t>EcoBlue</w:t>
      </w:r>
      <w:bookmarkEnd w:id="0"/>
      <w:proofErr w:type="spellEnd"/>
      <w:r w:rsidRPr="0079084C">
        <w:rPr>
          <w:rFonts w:ascii="Arial" w:hAnsi="Arial" w:cs="Arial"/>
          <w:sz w:val="22"/>
          <w:szCs w:val="22"/>
          <w:lang w:val="pl-PL"/>
        </w:rPr>
        <w:t xml:space="preserve">, w nową, </w:t>
      </w:r>
      <w:r w:rsidRPr="0079084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dwusprzęgłową, siedmiostopniową przekładnię automatyczną</w:t>
      </w:r>
      <w:r w:rsidRPr="0079084C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Pr="0079084C">
        <w:rPr>
          <w:rFonts w:ascii="Arial" w:hAnsi="Arial" w:cs="Arial"/>
          <w:sz w:val="22"/>
          <w:szCs w:val="22"/>
          <w:lang w:val="pl-PL"/>
        </w:rPr>
        <w:t xml:space="preserve"> mogą też zdecydować się na luksusową Pumę </w:t>
      </w:r>
      <w:r w:rsidRPr="0079084C">
        <w:rPr>
          <w:rFonts w:ascii="Arial" w:hAnsi="Arial" w:cs="Arial"/>
          <w:b/>
          <w:sz w:val="22"/>
          <w:szCs w:val="22"/>
          <w:lang w:val="pl-PL"/>
        </w:rPr>
        <w:t>ST-Line V</w:t>
      </w:r>
      <w:r w:rsidRPr="0079084C">
        <w:rPr>
          <w:rFonts w:ascii="Arial" w:hAnsi="Arial" w:cs="Arial"/>
          <w:sz w:val="22"/>
          <w:szCs w:val="22"/>
          <w:lang w:val="pl-PL"/>
        </w:rPr>
        <w:t>.</w:t>
      </w:r>
    </w:p>
    <w:p w:rsidR="007A0569" w:rsidRPr="0079084C" w:rsidRDefault="007A056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bookmarkStart w:id="1" w:name="_Hlk31964729"/>
      <w:bookmarkEnd w:id="1"/>
    </w:p>
    <w:p w:rsidR="007A0569" w:rsidRPr="0079084C" w:rsidRDefault="000A5560" w:rsidP="0079084C">
      <w:pPr>
        <w:pStyle w:val="BodyText2"/>
        <w:spacing w:line="240" w:lineRule="auto"/>
        <w:rPr>
          <w:sz w:val="22"/>
          <w:szCs w:val="22"/>
          <w:lang w:val="pl-PL"/>
        </w:rPr>
      </w:pPr>
      <w:r w:rsidRPr="0079084C">
        <w:rPr>
          <w:rFonts w:ascii="Arial" w:hAnsi="Arial" w:cs="Arial"/>
          <w:sz w:val="22"/>
          <w:szCs w:val="22"/>
          <w:lang w:val="pl-PL"/>
        </w:rPr>
        <w:t>Ford zainwestował około 200 milionów euro, aby rozwinąć produkcję Pumy w najnowocześniejszym zakładzie w Krajowej (</w:t>
      </w:r>
      <w:proofErr w:type="spellStart"/>
      <w:r w:rsidRPr="0079084C">
        <w:rPr>
          <w:rFonts w:ascii="Arial" w:hAnsi="Arial" w:cs="Arial"/>
          <w:sz w:val="22"/>
          <w:szCs w:val="22"/>
          <w:lang w:val="pl-PL"/>
        </w:rPr>
        <w:t>Craiova</w:t>
      </w:r>
      <w:proofErr w:type="spellEnd"/>
      <w:r w:rsidRPr="0079084C">
        <w:rPr>
          <w:rFonts w:ascii="Arial" w:hAnsi="Arial" w:cs="Arial"/>
          <w:sz w:val="22"/>
          <w:szCs w:val="22"/>
          <w:lang w:val="pl-PL"/>
        </w:rPr>
        <w:t>) w Rumunii, gdzie wszystkie inwestycje Forda od 2008 r. sięgają prawie 1,5 mld. euro.</w:t>
      </w:r>
      <w:r w:rsidRPr="0079084C">
        <w:rPr>
          <w:rFonts w:ascii="Arial" w:hAnsi="Arial" w:cs="Arial"/>
          <w:sz w:val="22"/>
          <w:szCs w:val="22"/>
          <w:lang w:val="pl-PL"/>
        </w:rPr>
        <w:br/>
      </w: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79084C">
        <w:rPr>
          <w:rFonts w:ascii="Arial" w:hAnsi="Arial" w:cs="Arial"/>
          <w:b/>
          <w:sz w:val="22"/>
          <w:szCs w:val="22"/>
          <w:lang w:val="pl-PL"/>
        </w:rPr>
        <w:t>Zróżnicowana oferta układów napędowych</w:t>
      </w: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79084C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87937AE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8" stroked="t" style="position:absolute;flip:y;mso-position-horizontal-relative:margin" wp14:anchorId="487937A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A0569" w:rsidRPr="0079084C" w:rsidRDefault="000A5560">
      <w:pPr>
        <w:rPr>
          <w:rFonts w:ascii="Arial" w:eastAsia="Calibri" w:hAnsi="Arial" w:cs="Arial"/>
          <w:sz w:val="22"/>
          <w:szCs w:val="22"/>
          <w:lang w:val="pl-PL"/>
        </w:rPr>
      </w:pP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Nowy silnik wysokoprężny </w:t>
      </w: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1,5-litra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EcoBlue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o mocy 120 KM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>, sprzężony z sześciobiegową manualną skrzynia biegów, będzie doskonałym wyborem dla kierowców osiągających duże przebiegi – pozwala na uzyskanie emisji CO</w:t>
      </w:r>
      <w:r w:rsidRPr="0079084C">
        <w:rPr>
          <w:rFonts w:ascii="Arial" w:eastAsia="Calibri" w:hAnsi="Arial" w:cs="Arial"/>
          <w:sz w:val="22"/>
          <w:szCs w:val="22"/>
          <w:vertAlign w:val="subscript"/>
          <w:lang w:val="pl-PL"/>
        </w:rPr>
        <w:t>2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już od 99 g/km i zużycia paliwa od 3,8 l/100 km, mierzonych w cyklu NEDC  (od 118 g/km i 4,5 l/100 km w cyklu WLTP).</w:t>
      </w:r>
      <w:r w:rsidRPr="0079084C">
        <w:rPr>
          <w:rFonts w:ascii="Arial" w:eastAsia="Calibri" w:hAnsi="Arial" w:cs="Arial"/>
          <w:sz w:val="22"/>
          <w:szCs w:val="22"/>
          <w:lang w:val="pl-PL"/>
        </w:rPr>
        <w:br/>
      </w:r>
      <w:r w:rsidRPr="0079084C">
        <w:rPr>
          <w:rFonts w:ascii="Arial" w:eastAsia="Calibri" w:hAnsi="Arial" w:cs="Arial"/>
          <w:sz w:val="22"/>
          <w:szCs w:val="22"/>
          <w:lang w:val="pl-PL"/>
        </w:rPr>
        <w:br/>
      </w:r>
      <w:r w:rsidRPr="0079084C">
        <w:rPr>
          <w:rFonts w:ascii="Arial" w:hAnsi="Arial" w:cs="Arial"/>
          <w:sz w:val="22"/>
          <w:szCs w:val="22"/>
          <w:lang w:val="pl-PL"/>
        </w:rPr>
        <w:t xml:space="preserve">Silnik benzynowy </w:t>
      </w:r>
      <w:proofErr w:type="spellStart"/>
      <w:r w:rsidRPr="0079084C">
        <w:rPr>
          <w:rFonts w:ascii="Arial" w:hAnsi="Arial" w:cs="Arial"/>
          <w:b/>
          <w:sz w:val="22"/>
          <w:szCs w:val="22"/>
          <w:lang w:val="pl-PL"/>
        </w:rPr>
        <w:t>EcoBoost</w:t>
      </w:r>
      <w:proofErr w:type="spellEnd"/>
      <w:r w:rsidRPr="0079084C">
        <w:rPr>
          <w:rFonts w:ascii="Arial" w:hAnsi="Arial" w:cs="Arial"/>
          <w:b/>
          <w:sz w:val="22"/>
          <w:szCs w:val="22"/>
          <w:lang w:val="pl-PL"/>
        </w:rPr>
        <w:t xml:space="preserve"> o pojemności 1 litra i o mocy 125 KM</w:t>
      </w:r>
      <w:r w:rsidRPr="0079084C">
        <w:rPr>
          <w:rFonts w:ascii="Arial" w:hAnsi="Arial" w:cs="Arial"/>
          <w:sz w:val="22"/>
          <w:szCs w:val="22"/>
          <w:lang w:val="pl-PL"/>
        </w:rPr>
        <w:t xml:space="preserve">, przenoszący napęd za pośrednictwem </w:t>
      </w:r>
      <w:r w:rsidRPr="0079084C">
        <w:rPr>
          <w:rFonts w:ascii="Arial" w:hAnsi="Arial" w:cs="Arial"/>
          <w:b/>
          <w:sz w:val="22"/>
          <w:szCs w:val="22"/>
          <w:lang w:val="pl-PL"/>
        </w:rPr>
        <w:t>siedmiobiegowej automatycznej przekładni</w:t>
      </w:r>
      <w:r w:rsidRPr="0079084C">
        <w:rPr>
          <w:rFonts w:ascii="Arial" w:hAnsi="Arial" w:cs="Arial"/>
          <w:sz w:val="22"/>
          <w:szCs w:val="22"/>
          <w:lang w:val="pl-PL"/>
        </w:rPr>
        <w:t xml:space="preserve"> oferuje 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>emisję CO</w:t>
      </w:r>
      <w:r w:rsidRPr="0079084C">
        <w:rPr>
          <w:rFonts w:ascii="Arial" w:eastAsia="Calibri" w:hAnsi="Arial" w:cs="Arial"/>
          <w:sz w:val="22"/>
          <w:szCs w:val="22"/>
          <w:vertAlign w:val="subscript"/>
          <w:lang w:val="pl-PL"/>
        </w:rPr>
        <w:t>2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od 110 g/km i zużycie paliwa wynoszące 4,9 l/100 km wg NEDC (137 g/km i 6,0 l/100 km wg WLTP). Większa liczba przełożeń i specyfika pracy podwójnego sprzęgła wpływają na płynność zmiany biegów, przyczyniają się także do obniżenia zużycia paliwa, wyższej kultury pracy i dynamiki układu napędowego. </w:t>
      </w:r>
    </w:p>
    <w:p w:rsidR="007A0569" w:rsidRPr="0079084C" w:rsidRDefault="007A0569">
      <w:pPr>
        <w:rPr>
          <w:rFonts w:ascii="Arial" w:eastAsia="Calibri" w:hAnsi="Arial" w:cs="Arial"/>
          <w:sz w:val="22"/>
          <w:szCs w:val="22"/>
          <w:lang w:val="pl-PL"/>
        </w:rPr>
      </w:pPr>
    </w:p>
    <w:p w:rsidR="007A0569" w:rsidRDefault="000A5560">
      <w:pPr>
        <w:rPr>
          <w:rFonts w:ascii="Arial" w:eastAsia="Calibri" w:hAnsi="Arial" w:cs="Arial"/>
          <w:sz w:val="22"/>
          <w:szCs w:val="22"/>
          <w:lang w:val="pl-PL"/>
        </w:rPr>
      </w:pP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Właściciele Pumy byli jednymi z pierwszych, którzy pod koniec roku skorzystali z wyrafinowanej architektury miękkiej hybrydy, służącej redukcji zużycia paliwa. Hybrydowe układy napędowe </w:t>
      </w:r>
      <w:proofErr w:type="spellStart"/>
      <w:r w:rsidRPr="0079084C">
        <w:rPr>
          <w:rFonts w:ascii="Arial" w:eastAsia="Calibri" w:hAnsi="Arial" w:cs="Arial"/>
          <w:sz w:val="22"/>
          <w:szCs w:val="22"/>
          <w:lang w:val="pl-PL"/>
        </w:rPr>
        <w:lastRenderedPageBreak/>
        <w:t>EcoBoost</w:t>
      </w:r>
      <w:proofErr w:type="spellEnd"/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w gamie Pumy są oferowane w dwóch wariantach mocy w połączeniu z sześcio</w:t>
      </w:r>
      <w:r w:rsidR="0079084C">
        <w:rPr>
          <w:rFonts w:ascii="Arial" w:eastAsia="Calibri" w:hAnsi="Arial" w:cs="Arial"/>
          <w:sz w:val="22"/>
          <w:szCs w:val="22"/>
          <w:lang w:val="pl-PL"/>
        </w:rPr>
        <w:t>stopniowymi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manualnymi skrzyniami biegów:</w:t>
      </w:r>
    </w:p>
    <w:p w:rsidR="0079084C" w:rsidRPr="0079084C" w:rsidRDefault="0079084C">
      <w:pPr>
        <w:rPr>
          <w:rFonts w:ascii="Arial" w:eastAsia="Calibri" w:hAnsi="Arial" w:cs="Arial"/>
          <w:sz w:val="22"/>
          <w:szCs w:val="22"/>
          <w:lang w:val="pl-PL"/>
        </w:rPr>
      </w:pPr>
    </w:p>
    <w:p w:rsidR="007A0569" w:rsidRDefault="000A556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pl-PL"/>
        </w:rPr>
      </w:pPr>
      <w:bookmarkStart w:id="2" w:name="_Hlk32505153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125-konny układ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EcoBoost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Hybrid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z 1-litrowym silnikiem benzynowym</w:t>
      </w:r>
      <w:bookmarkEnd w:id="2"/>
      <w:r w:rsidRPr="0079084C">
        <w:rPr>
          <w:rFonts w:ascii="Arial" w:eastAsia="Calibri" w:hAnsi="Arial" w:cs="Arial"/>
          <w:sz w:val="22"/>
          <w:szCs w:val="22"/>
          <w:lang w:val="pl-PL"/>
        </w:rPr>
        <w:t>, zapewnia emisję CO</w:t>
      </w:r>
      <w:r w:rsidRPr="0079084C">
        <w:rPr>
          <w:rFonts w:ascii="Arial" w:eastAsia="Calibri" w:hAnsi="Arial" w:cs="Arial"/>
          <w:sz w:val="22"/>
          <w:szCs w:val="22"/>
          <w:vertAlign w:val="subscript"/>
          <w:lang w:val="pl-PL"/>
        </w:rPr>
        <w:t>2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od 97 g/km i zużycie paliwa wynoszące 4,3 l/100 km wg NEDC (126 g/km i 5,5 l/100 km wg WLTP)</w:t>
      </w:r>
      <w:r w:rsidR="0079084C"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79084C" w:rsidRPr="0079084C" w:rsidRDefault="0079084C" w:rsidP="0079084C">
      <w:pPr>
        <w:pStyle w:val="ListParagraph"/>
        <w:rPr>
          <w:rFonts w:ascii="Arial" w:eastAsia="Calibri" w:hAnsi="Arial" w:cs="Arial"/>
          <w:sz w:val="22"/>
          <w:szCs w:val="22"/>
          <w:lang w:val="pl-PL"/>
        </w:rPr>
      </w:pPr>
    </w:p>
    <w:p w:rsidR="007A0569" w:rsidRPr="0079084C" w:rsidRDefault="000A556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pl-PL"/>
        </w:rPr>
      </w:pP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1,0-litrowy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EcoBoost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Hybrid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o mocy 155 KM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>, zapewnia emisję CO</w:t>
      </w:r>
      <w:r w:rsidRPr="0079084C">
        <w:rPr>
          <w:rFonts w:ascii="Arial" w:eastAsia="Calibri" w:hAnsi="Arial" w:cs="Arial"/>
          <w:sz w:val="22"/>
          <w:szCs w:val="22"/>
          <w:vertAlign w:val="subscript"/>
          <w:lang w:val="pl-PL"/>
        </w:rPr>
        <w:t>2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od 99 g/km i zużycie paliwa wynoszące 4,4 l/100 km wg NEDC (126 g/km i 5,5 l/100 km wg WLTP)</w:t>
      </w:r>
    </w:p>
    <w:p w:rsidR="007A0569" w:rsidRPr="0079084C" w:rsidRDefault="007A0569">
      <w:pPr>
        <w:rPr>
          <w:rFonts w:ascii="Arial" w:eastAsia="Calibri" w:hAnsi="Arial" w:cs="Arial"/>
          <w:sz w:val="22"/>
          <w:szCs w:val="22"/>
          <w:lang w:val="pl-PL"/>
        </w:rPr>
      </w:pPr>
    </w:p>
    <w:p w:rsidR="007A0569" w:rsidRPr="0079084C" w:rsidRDefault="000A5560">
      <w:pPr>
        <w:rPr>
          <w:rFonts w:ascii="Arial" w:eastAsia="Calibri" w:hAnsi="Arial" w:cs="Arial"/>
          <w:sz w:val="22"/>
          <w:szCs w:val="22"/>
          <w:lang w:val="pl-PL"/>
        </w:rPr>
      </w:pP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1,0-litrowy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EcoBoost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o mocy 125 KM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z sześciostopniową przekładnią manualną emituje od 103 g/km CO</w:t>
      </w:r>
      <w:r w:rsidRPr="0079084C">
        <w:rPr>
          <w:rFonts w:ascii="Arial" w:eastAsia="Calibri" w:hAnsi="Arial" w:cs="Arial"/>
          <w:sz w:val="22"/>
          <w:szCs w:val="22"/>
          <w:vertAlign w:val="subscript"/>
          <w:lang w:val="pl-PL"/>
        </w:rPr>
        <w:t>2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i zapewnia zużycie paliwa 4,5 l/100 km NEDC (131 g/km i 5,7 l/100 km WLTP). Natomiast </w:t>
      </w: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1,0-litrowy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EcoBoost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o mocy 95 KM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z tą samą przekładnią emituje od 102 g/km CO</w:t>
      </w:r>
      <w:r w:rsidRPr="0079084C">
        <w:rPr>
          <w:rFonts w:ascii="Arial" w:eastAsia="Calibri" w:hAnsi="Arial" w:cs="Arial"/>
          <w:sz w:val="22"/>
          <w:szCs w:val="22"/>
          <w:vertAlign w:val="subscript"/>
          <w:lang w:val="pl-PL"/>
        </w:rPr>
        <w:t>2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i zapewnia zużycie paliwa 4,5 l/100 km w cyklu NEDC (129 g/km i 5,7 l/100 km WLTP).</w:t>
      </w:r>
    </w:p>
    <w:p w:rsidR="007A0569" w:rsidRPr="0079084C" w:rsidRDefault="007A0569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79084C">
        <w:rPr>
          <w:rFonts w:ascii="Arial" w:hAnsi="Arial" w:cs="Arial"/>
          <w:b/>
          <w:sz w:val="22"/>
          <w:szCs w:val="22"/>
          <w:lang w:val="pl-PL"/>
        </w:rPr>
        <w:t>Luksusowa Puma ST-Line V</w:t>
      </w: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79084C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0B65F9B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40B65F9B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A0569" w:rsidRPr="0079084C" w:rsidRDefault="000A5560">
      <w:pPr>
        <w:rPr>
          <w:rFonts w:ascii="Arial" w:eastAsia="Calibri" w:hAnsi="Arial" w:cs="Arial"/>
          <w:sz w:val="22"/>
          <w:szCs w:val="22"/>
          <w:lang w:val="pl-PL"/>
        </w:rPr>
      </w:pP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Puma ST-Line V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oparta na sportowej wersji </w:t>
      </w: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ST-Line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wnosi do gamy jeszcze więcej prestiżu oraz dodatkowe elementy wyposażenia. Wyróżnia się satynowaną aluminiową górną osłoną chłodnicy, wraz z ramką, dolną osłoną w kolorze hebanowym, dolną partią tylnego zderzaka w kolorze nadwozia i dużym tylnym spoilerem Standardowa specyfikacja obejmuje reflektory diodowe, skórzane fotele Windsor, skórzaną kierownicę </w:t>
      </w:r>
      <w:proofErr w:type="spellStart"/>
      <w:r w:rsidRPr="0079084C">
        <w:rPr>
          <w:rFonts w:ascii="Arial" w:eastAsia="Calibri" w:hAnsi="Arial" w:cs="Arial"/>
          <w:sz w:val="22"/>
          <w:szCs w:val="22"/>
          <w:lang w:val="pl-PL"/>
        </w:rPr>
        <w:t>Manacor</w:t>
      </w:r>
      <w:proofErr w:type="spellEnd"/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wysokiej klasy system audio B&amp;O i system dostępu </w:t>
      </w:r>
      <w:proofErr w:type="spellStart"/>
      <w:r w:rsidRPr="0079084C">
        <w:rPr>
          <w:rFonts w:ascii="Arial" w:eastAsia="Calibri" w:hAnsi="Arial" w:cs="Arial"/>
          <w:sz w:val="22"/>
          <w:szCs w:val="22"/>
          <w:lang w:val="pl-PL"/>
        </w:rPr>
        <w:t>bezkluczykowego</w:t>
      </w:r>
      <w:proofErr w:type="spellEnd"/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Ford </w:t>
      </w:r>
      <w:proofErr w:type="spellStart"/>
      <w:r w:rsidRPr="0079084C">
        <w:rPr>
          <w:rFonts w:ascii="Arial" w:eastAsia="Calibri" w:hAnsi="Arial" w:cs="Arial"/>
          <w:sz w:val="22"/>
          <w:szCs w:val="22"/>
          <w:lang w:val="pl-PL"/>
        </w:rPr>
        <w:t>KeyFree</w:t>
      </w:r>
      <w:proofErr w:type="spellEnd"/>
      <w:r w:rsidRPr="0079084C"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7A0569" w:rsidRPr="0079084C" w:rsidRDefault="007A0569">
      <w:pPr>
        <w:rPr>
          <w:rFonts w:ascii="Arial" w:eastAsia="Calibri" w:hAnsi="Arial" w:cs="Arial"/>
          <w:sz w:val="22"/>
          <w:szCs w:val="22"/>
          <w:lang w:val="pl-PL"/>
        </w:rPr>
      </w:pPr>
    </w:p>
    <w:p w:rsidR="007A0569" w:rsidRPr="0079084C" w:rsidRDefault="000A5560">
      <w:pPr>
        <w:rPr>
          <w:sz w:val="22"/>
          <w:szCs w:val="22"/>
          <w:lang w:val="pl-PL"/>
        </w:rPr>
      </w:pP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Kolejne wersje Pumy, m.in. </w:t>
      </w: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Trend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Titanium</w:t>
      </w:r>
      <w:proofErr w:type="spellEnd"/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proofErr w:type="spellStart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Titanium</w:t>
      </w:r>
      <w:proofErr w:type="spellEnd"/>
      <w:r w:rsidRPr="0079084C">
        <w:rPr>
          <w:rFonts w:ascii="Arial" w:eastAsia="Calibri" w:hAnsi="Arial" w:cs="Arial"/>
          <w:b/>
          <w:sz w:val="22"/>
          <w:szCs w:val="22"/>
          <w:lang w:val="pl-PL"/>
        </w:rPr>
        <w:t xml:space="preserve"> X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i </w:t>
      </w:r>
      <w:r w:rsidRPr="0079084C">
        <w:rPr>
          <w:rFonts w:ascii="Arial" w:eastAsia="Calibri" w:hAnsi="Arial" w:cs="Arial"/>
          <w:b/>
          <w:sz w:val="22"/>
          <w:szCs w:val="22"/>
          <w:lang w:val="pl-PL"/>
        </w:rPr>
        <w:t>ST-Line X</w:t>
      </w:r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otrzymują w standardowym wyposażeniu innowacyjne technologie Forda, takie jak </w:t>
      </w:r>
      <w:hyperlink r:id="rId13">
        <w:r w:rsidRPr="0079084C">
          <w:rPr>
            <w:rStyle w:val="czeinternetowe"/>
            <w:rFonts w:ascii="Arial" w:eastAsia="Calibri" w:hAnsi="Arial" w:cs="Arial"/>
            <w:sz w:val="22"/>
            <w:szCs w:val="22"/>
            <w:lang w:val="pl-PL"/>
          </w:rPr>
          <w:t>system wczesnego informowania o niebezpieczeństwie na drodze</w:t>
        </w:r>
      </w:hyperlink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korzystający z komunikacji za pośrednictwem modemu </w:t>
      </w:r>
      <w:proofErr w:type="spellStart"/>
      <w:r w:rsidRPr="0079084C">
        <w:rPr>
          <w:rFonts w:ascii="Arial" w:eastAsia="Calibri" w:hAnsi="Arial" w:cs="Arial"/>
          <w:sz w:val="22"/>
          <w:szCs w:val="22"/>
          <w:lang w:val="pl-PL"/>
        </w:rPr>
        <w:t>FordPass</w:t>
      </w:r>
      <w:proofErr w:type="spellEnd"/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 Connect*, oferują też właścicielom funkcjonalny schowek </w:t>
      </w:r>
      <w:proofErr w:type="spellStart"/>
      <w:r w:rsidRPr="0079084C">
        <w:rPr>
          <w:rFonts w:ascii="Arial" w:eastAsia="Calibri" w:hAnsi="Arial" w:cs="Arial"/>
          <w:sz w:val="22"/>
          <w:szCs w:val="22"/>
          <w:lang w:val="pl-PL"/>
        </w:rPr>
        <w:t>MegaBox</w:t>
      </w:r>
      <w:proofErr w:type="spellEnd"/>
      <w:r w:rsidRPr="0079084C">
        <w:rPr>
          <w:rFonts w:ascii="Arial" w:eastAsia="Calibri" w:hAnsi="Arial" w:cs="Arial"/>
          <w:sz w:val="22"/>
          <w:szCs w:val="22"/>
          <w:lang w:val="pl-PL"/>
        </w:rPr>
        <w:t xml:space="preserve">, zdolny pomieścić  w pozycji pionowej niestabilne przedmioty wysokości nawet 115 cm, takie jak rośliny doniczkowe, </w:t>
      </w:r>
      <w:r w:rsidRPr="0079084C">
        <w:rPr>
          <w:rFonts w:ascii="Arial" w:hAnsi="Arial" w:cs="Arial"/>
          <w:sz w:val="22"/>
          <w:szCs w:val="22"/>
          <w:shd w:val="clear" w:color="auto" w:fill="FFFFFF"/>
          <w:lang w:val="pl-PL"/>
        </w:rPr>
        <w:t>czy kije golfowe.</w:t>
      </w:r>
    </w:p>
    <w:p w:rsidR="007A0569" w:rsidRPr="0079084C" w:rsidRDefault="007A0569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A0569" w:rsidRPr="0079084C" w:rsidRDefault="000A5560">
      <w:pPr>
        <w:rPr>
          <w:rFonts w:ascii="Arial" w:eastAsia="Calibri" w:hAnsi="Arial" w:cs="Arial"/>
          <w:sz w:val="22"/>
          <w:szCs w:val="22"/>
          <w:lang w:val="pl-PL"/>
        </w:rPr>
      </w:pPr>
      <w:r w:rsidRPr="0079084C">
        <w:rPr>
          <w:rFonts w:ascii="Arial" w:hAnsi="Arial" w:cs="Arial"/>
          <w:sz w:val="22"/>
          <w:szCs w:val="22"/>
          <w:shd w:val="clear" w:color="auto" w:fill="FFFFFF"/>
          <w:lang w:val="pl-PL"/>
        </w:rPr>
        <w:t>Na początku tego miesiąca Ford ogłosił, że Puma ST, nowy model stworzony przez Ford Performance, dołączy do gamy jeszcze w tym roku.</w:t>
      </w:r>
    </w:p>
    <w:p w:rsidR="007A0569" w:rsidRPr="0079084C" w:rsidRDefault="007A0569">
      <w:pPr>
        <w:rPr>
          <w:rFonts w:ascii="Arial" w:eastAsia="Calibri" w:hAnsi="Arial" w:cs="Arial"/>
          <w:sz w:val="22"/>
          <w:szCs w:val="22"/>
          <w:lang w:val="pl-PL"/>
        </w:rPr>
      </w:pP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79084C">
        <w:rPr>
          <w:rFonts w:ascii="Arial" w:hAnsi="Arial" w:cs="Arial"/>
          <w:b/>
          <w:sz w:val="22"/>
          <w:szCs w:val="22"/>
          <w:lang w:val="pl-PL"/>
        </w:rPr>
        <w:t>Cytaty:</w:t>
      </w: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79084C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A0569" w:rsidRPr="0079084C" w:rsidRDefault="000A55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79084C">
        <w:rPr>
          <w:rFonts w:ascii="Arial" w:hAnsi="Arial" w:cs="Arial"/>
          <w:sz w:val="22"/>
          <w:szCs w:val="22"/>
          <w:lang w:val="pl-PL"/>
        </w:rPr>
        <w:t>„Klienci poinformowali nas, że zależy im na nowych wersjach modelu, które będą pomocne w dobraniu odpowiadającego im połączenia stylu, elementów wyposażenia dodatkowego, oszczędności i osiągów. Jest to coś, co zobowiązaliśmy się zaoferować klientom wraz z Pumą, dodatkowo jeszcze w tym roku pojawi się nowa Puma ST i nie będzie to nasze ostatnie słowo.”</w:t>
      </w:r>
    </w:p>
    <w:p w:rsidR="007A0569" w:rsidRPr="0079084C" w:rsidRDefault="007A056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:rsidR="007A0569" w:rsidRPr="0079084C" w:rsidRDefault="000A5560">
      <w:pPr>
        <w:pStyle w:val="BodyText2"/>
        <w:spacing w:line="240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  <w:proofErr w:type="spellStart"/>
      <w:r w:rsidRPr="0079084C">
        <w:rPr>
          <w:rFonts w:ascii="Arial" w:hAnsi="Arial" w:cs="Arial"/>
          <w:i/>
          <w:sz w:val="22"/>
          <w:szCs w:val="22"/>
          <w:lang w:val="pl-PL"/>
        </w:rPr>
        <w:t>Roelant</w:t>
      </w:r>
      <w:proofErr w:type="spellEnd"/>
      <w:r w:rsidRPr="0079084C">
        <w:rPr>
          <w:rFonts w:ascii="Arial" w:hAnsi="Arial" w:cs="Arial"/>
          <w:i/>
          <w:sz w:val="22"/>
          <w:szCs w:val="22"/>
          <w:lang w:val="pl-PL"/>
        </w:rPr>
        <w:t xml:space="preserve"> de </w:t>
      </w:r>
      <w:proofErr w:type="spellStart"/>
      <w:r w:rsidRPr="0079084C">
        <w:rPr>
          <w:rFonts w:ascii="Arial" w:hAnsi="Arial" w:cs="Arial"/>
          <w:i/>
          <w:sz w:val="22"/>
          <w:szCs w:val="22"/>
          <w:lang w:val="pl-PL"/>
        </w:rPr>
        <w:t>Waard</w:t>
      </w:r>
      <w:proofErr w:type="spellEnd"/>
      <w:r w:rsidRPr="0079084C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79084C">
        <w:rPr>
          <w:rFonts w:ascii="Arial" w:hAnsi="Arial" w:cs="Arial"/>
          <w:i/>
          <w:sz w:val="22"/>
          <w:szCs w:val="22"/>
          <w:lang w:val="pl-PL"/>
        </w:rPr>
        <w:br/>
        <w:t xml:space="preserve">wiceprezes ds. marketingu, sprzedaży i serwisu </w:t>
      </w:r>
      <w:r w:rsidRPr="0079084C">
        <w:rPr>
          <w:rFonts w:ascii="Arial" w:hAnsi="Arial" w:cs="Arial"/>
          <w:i/>
          <w:sz w:val="22"/>
          <w:szCs w:val="22"/>
          <w:lang w:val="pl-PL"/>
        </w:rPr>
        <w:br/>
        <w:t>Ford of Europe</w:t>
      </w:r>
    </w:p>
    <w:p w:rsidR="007A0569" w:rsidRDefault="007A0569">
      <w:pPr>
        <w:rPr>
          <w:rFonts w:ascii="Arial" w:eastAsia="Times New Roman" w:hAnsi="Arial" w:cs="Arial"/>
          <w:sz w:val="22"/>
          <w:szCs w:val="22"/>
          <w:lang w:val="pl-PL"/>
        </w:rPr>
      </w:pPr>
    </w:p>
    <w:p w:rsidR="007A0569" w:rsidRDefault="007A0569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:rsidR="007A0569" w:rsidRDefault="000A5560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# # #</w:t>
      </w:r>
    </w:p>
    <w:p w:rsidR="007A0569" w:rsidRDefault="007A0569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:rsidR="007A0569" w:rsidRDefault="007A0569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:rsidR="007A0569" w:rsidRDefault="000A5560">
      <w:pPr>
        <w:pStyle w:val="BodyText2"/>
        <w:spacing w:line="240" w:lineRule="auto"/>
        <w:rPr>
          <w:rFonts w:ascii="Arial" w:hAnsi="Arial" w:cs="Arial"/>
          <w:iCs/>
          <w:sz w:val="20"/>
          <w:lang w:val="pl-PL"/>
        </w:rPr>
      </w:pPr>
      <w:r>
        <w:rPr>
          <w:rFonts w:ascii="Arial" w:hAnsi="Arial" w:cs="Arial"/>
          <w:color w:val="333333"/>
          <w:sz w:val="20"/>
          <w:shd w:val="clear" w:color="auto" w:fill="FFFFFF"/>
          <w:lang w:val="pl-PL"/>
        </w:rPr>
        <w:t>*Systemy mogą wymagać aktywacji</w:t>
      </w:r>
    </w:p>
    <w:p w:rsidR="007A0569" w:rsidRDefault="007A0569">
      <w:pPr>
        <w:pStyle w:val="BodyText2"/>
        <w:spacing w:line="240" w:lineRule="auto"/>
        <w:rPr>
          <w:rFonts w:ascii="Arial" w:hAnsi="Arial" w:cs="Arial"/>
          <w:iCs/>
          <w:sz w:val="20"/>
          <w:lang w:val="pl-PL"/>
        </w:rPr>
      </w:pPr>
    </w:p>
    <w:p w:rsidR="007A0569" w:rsidRDefault="000A5560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iCs/>
          <w:sz w:val="20"/>
          <w:lang w:val="pl-PL"/>
        </w:rPr>
        <w:lastRenderedPageBreak/>
        <w:t xml:space="preserve">Systemy asystenckie wspomagania są uzupełnieniem uwagi </w:t>
      </w:r>
      <w:proofErr w:type="gramStart"/>
      <w:r>
        <w:rPr>
          <w:rFonts w:ascii="Arial" w:hAnsi="Arial" w:cs="Arial"/>
          <w:iCs/>
          <w:sz w:val="20"/>
          <w:lang w:val="pl-PL"/>
        </w:rPr>
        <w:t>kierowcy</w:t>
      </w:r>
      <w:proofErr w:type="gramEnd"/>
      <w:r>
        <w:rPr>
          <w:rFonts w:ascii="Arial" w:hAnsi="Arial" w:cs="Arial"/>
          <w:iCs/>
          <w:sz w:val="20"/>
          <w:lang w:val="pl-PL"/>
        </w:rPr>
        <w:t xml:space="preserve"> ale nie zastępują oceny sytuacji i konieczności kontrolowania przez niego pojazdu.</w:t>
      </w:r>
    </w:p>
    <w:p w:rsidR="007A0569" w:rsidRDefault="007A0569">
      <w:pPr>
        <w:pStyle w:val="BodyText2"/>
        <w:spacing w:line="240" w:lineRule="auto"/>
        <w:ind w:left="720"/>
        <w:rPr>
          <w:rFonts w:ascii="Arial" w:hAnsi="Arial" w:cs="Arial"/>
          <w:sz w:val="20"/>
          <w:lang w:val="pl-PL"/>
        </w:rPr>
      </w:pPr>
      <w:bookmarkStart w:id="3" w:name="_Hlk18940391"/>
      <w:bookmarkEnd w:id="3"/>
    </w:p>
    <w:p w:rsidR="007A0569" w:rsidRDefault="000A5560">
      <w:pPr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Deklarowane zużycie paliwa/zużycie energii, emisja CO</w:t>
      </w:r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2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2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fazie przechodzenia z procedury NEDC do WLTP, zużycie paliwa i emisja CO</w:t>
      </w:r>
      <w:r>
        <w:rPr>
          <w:rFonts w:ascii="Arial" w:eastAsia="Times New Roman" w:hAnsi="Arial" w:cs="Arial"/>
          <w:sz w:val="20"/>
          <w:vertAlign w:val="subscript"/>
          <w:lang w:val="pl-PL"/>
        </w:rPr>
        <w:t>2</w:t>
      </w:r>
      <w:r>
        <w:rPr>
          <w:rFonts w:ascii="Arial" w:eastAsia="Times New Roman" w:hAnsi="Arial" w:cs="Arial"/>
          <w:sz w:val="20"/>
          <w:lang w:val="pl-PL"/>
        </w:rPr>
        <w:t xml:space="preserve"> będą podawane również według wcześniejszej procedury NEDC. Należy pamiętać, że nieuchronnie wystąpią różnice wyników otrzymanych według starej i nowej procedury testowej, zarówno co do zużycia paliwa, jak emisji CO</w:t>
      </w:r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2</w:t>
      </w:r>
      <w:r>
        <w:rPr>
          <w:rFonts w:ascii="Arial" w:eastAsia="Times New Roman" w:hAnsi="Arial" w:cs="Arial"/>
          <w:sz w:val="20"/>
          <w:szCs w:val="20"/>
          <w:lang w:val="pl-PL"/>
        </w:rPr>
        <w:t>, ponieważ niektóre elementy testu uległy zmianie. Na przykład ten sam samochód może mieć inne zużycie paliwa i emisję CO</w:t>
      </w:r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2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mierzone według NEDC oraz WLPT.</w:t>
      </w:r>
    </w:p>
    <w:p w:rsidR="007A0569" w:rsidRDefault="007A0569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7A0569" w:rsidRDefault="007A0569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7A0569" w:rsidRDefault="000A5560">
      <w:pPr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  <w:r>
        <w:rPr>
          <w:rFonts w:ascii="Arial" w:hAnsi="Arial" w:cs="Arial"/>
          <w:b/>
          <w:bCs/>
          <w:i/>
          <w:sz w:val="20"/>
          <w:szCs w:val="20"/>
          <w:lang w:val="pl-PL"/>
        </w:rPr>
        <w:t>O Ford Motor Company</w:t>
      </w:r>
    </w:p>
    <w:p w:rsidR="007A0569" w:rsidRPr="004D57F0" w:rsidRDefault="000A5560">
      <w:pPr>
        <w:jc w:val="both"/>
        <w:rPr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 Company na stronie </w:t>
      </w:r>
      <w:hyperlink r:id="rId14">
        <w:r>
          <w:rPr>
            <w:rStyle w:val="czeinternetowe"/>
            <w:rFonts w:ascii="Arial" w:hAnsi="Arial" w:cs="Arial"/>
            <w:i/>
            <w:iCs/>
            <w:sz w:val="20"/>
            <w:szCs w:val="20"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sz w:val="20"/>
          <w:szCs w:val="20"/>
          <w:lang w:val="pl-PL"/>
        </w:rPr>
        <w:t xml:space="preserve">. </w:t>
      </w:r>
    </w:p>
    <w:p w:rsidR="007A0569" w:rsidRDefault="007A0569">
      <w:pPr>
        <w:jc w:val="both"/>
        <w:rPr>
          <w:rFonts w:ascii="Arial" w:hAnsi="Arial" w:cs="Arial"/>
          <w:i/>
          <w:iCs/>
          <w:color w:val="1F497D"/>
          <w:sz w:val="20"/>
          <w:szCs w:val="20"/>
          <w:lang w:val="pl-PL"/>
        </w:rPr>
      </w:pPr>
    </w:p>
    <w:p w:rsidR="007A0569" w:rsidRDefault="000A5560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Ford of Europe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Customer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Division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:rsidR="007A0569" w:rsidRDefault="007A0569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</w:p>
    <w:p w:rsidR="007A0569" w:rsidRPr="004D57F0" w:rsidRDefault="000A5560">
      <w:pPr>
        <w:jc w:val="center"/>
        <w:rPr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Kliknij, by uzyskać więcej informacji na temat </w:t>
      </w:r>
      <w:hyperlink r:id="rId15">
        <w:r>
          <w:rPr>
            <w:rStyle w:val="czeinternetowe"/>
            <w:rFonts w:ascii="Arial" w:eastAsia="Times New Roman" w:hAnsi="Arial" w:cs="Arial"/>
            <w:sz w:val="20"/>
            <w:szCs w:val="20"/>
            <w:lang w:val="pl-PL"/>
          </w:rPr>
          <w:t>Ford Motor Company</w:t>
        </w:r>
      </w:hyperlink>
      <w:r>
        <w:rPr>
          <w:rFonts w:ascii="Arial" w:eastAsia="Times New Roman" w:hAnsi="Arial" w:cs="Arial"/>
          <w:sz w:val="20"/>
          <w:szCs w:val="20"/>
          <w:lang w:val="pl-PL"/>
        </w:rPr>
        <w:t xml:space="preserve"> lub </w:t>
      </w:r>
      <w:hyperlink r:id="rId16">
        <w:r>
          <w:rPr>
            <w:rStyle w:val="czeinternetowe"/>
            <w:rFonts w:ascii="Arial" w:eastAsia="Times New Roman" w:hAnsi="Arial" w:cs="Arial"/>
            <w:sz w:val="20"/>
            <w:szCs w:val="20"/>
            <w:lang w:val="pl-PL"/>
          </w:rPr>
          <w:t>Ford of Europe</w:t>
        </w:r>
      </w:hyperlink>
    </w:p>
    <w:p w:rsidR="007A0569" w:rsidRDefault="007A0569">
      <w:pPr>
        <w:rPr>
          <w:rFonts w:ascii="Arial" w:eastAsia="Times New Roman" w:hAnsi="Arial" w:cs="Arial"/>
          <w:sz w:val="20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9084C" w:rsidRPr="005B4A9F" w:rsidTr="00981536">
        <w:tc>
          <w:tcPr>
            <w:tcW w:w="1320" w:type="dxa"/>
          </w:tcPr>
          <w:p w:rsidR="0079084C" w:rsidRPr="005B4A9F" w:rsidRDefault="0079084C" w:rsidP="00981536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:rsidR="0079084C" w:rsidRPr="005B4A9F" w:rsidRDefault="0079084C" w:rsidP="00981536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:rsidR="0079084C" w:rsidRPr="005B4A9F" w:rsidRDefault="0079084C" w:rsidP="00981536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9084C" w:rsidRPr="0079084C" w:rsidTr="00981536">
        <w:tc>
          <w:tcPr>
            <w:tcW w:w="1320" w:type="dxa"/>
          </w:tcPr>
          <w:p w:rsidR="0079084C" w:rsidRPr="005B4A9F" w:rsidRDefault="0079084C" w:rsidP="00981536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:rsidR="0079084C" w:rsidRPr="005B4A9F" w:rsidRDefault="0079084C" w:rsidP="00981536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:rsidR="0079084C" w:rsidRPr="005B4A9F" w:rsidRDefault="0079084C" w:rsidP="00981536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9084C" w:rsidRPr="005B4A9F" w:rsidTr="00981536">
        <w:tc>
          <w:tcPr>
            <w:tcW w:w="1320" w:type="dxa"/>
          </w:tcPr>
          <w:p w:rsidR="0079084C" w:rsidRPr="005B4A9F" w:rsidRDefault="0079084C" w:rsidP="00981536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:rsidR="0079084C" w:rsidRPr="005B4A9F" w:rsidRDefault="0079084C" w:rsidP="00981536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:rsidR="0079084C" w:rsidRPr="005B4A9F" w:rsidRDefault="0079084C" w:rsidP="00981536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:rsidR="0079084C" w:rsidRPr="00354862" w:rsidRDefault="0079084C" w:rsidP="0079084C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:rsidR="007A0569" w:rsidRDefault="007A0569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bookmarkStart w:id="4" w:name="_GoBack"/>
      <w:bookmarkEnd w:id="4"/>
    </w:p>
    <w:p w:rsidR="007A0569" w:rsidRDefault="000A5560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0569">
      <w:footerReference w:type="default" r:id="rId18"/>
      <w:headerReference w:type="first" r:id="rId19"/>
      <w:footerReference w:type="first" r:id="rId20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B07" w:rsidRDefault="000A1B07">
      <w:r>
        <w:separator/>
      </w:r>
    </w:p>
  </w:endnote>
  <w:endnote w:type="continuationSeparator" w:id="0">
    <w:p w:rsidR="000A1B07" w:rsidRDefault="000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69" w:rsidRPr="004D57F0" w:rsidRDefault="000A5560">
    <w:pPr>
      <w:pStyle w:val="Stopka"/>
      <w:jc w:val="center"/>
      <w:rPr>
        <w:lang w:val="pl-PL"/>
      </w:rPr>
    </w:pPr>
    <w:r>
      <w:fldChar w:fldCharType="begin"/>
    </w:r>
    <w:r w:rsidRPr="004D57F0">
      <w:rPr>
        <w:lang w:val="pl-PL"/>
      </w:rPr>
      <w:instrText>PAGE</w:instrText>
    </w:r>
    <w:r>
      <w:fldChar w:fldCharType="separate"/>
    </w:r>
    <w:r w:rsidRPr="004D57F0">
      <w:rPr>
        <w:lang w:val="pl-PL"/>
      </w:rPr>
      <w:t>3</w:t>
    </w:r>
    <w:r>
      <w:fldChar w:fldCharType="end"/>
    </w:r>
  </w:p>
  <w:p w:rsidR="007A0569" w:rsidRDefault="007A0569">
    <w:pPr>
      <w:pStyle w:val="Stopka"/>
      <w:jc w:val="center"/>
      <w:rPr>
        <w:rFonts w:ascii="Arial" w:hAnsi="Arial"/>
        <w:lang w:val="pl-PL"/>
      </w:rPr>
    </w:pPr>
  </w:p>
  <w:p w:rsidR="007A0569" w:rsidRPr="004D57F0" w:rsidRDefault="000A5560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69" w:rsidRDefault="007A0569">
    <w:pPr>
      <w:pStyle w:val="Stopka"/>
      <w:jc w:val="center"/>
    </w:pPr>
  </w:p>
  <w:p w:rsidR="007A0569" w:rsidRDefault="007A0569">
    <w:pPr>
      <w:pStyle w:val="Stopka"/>
      <w:jc w:val="center"/>
    </w:pPr>
  </w:p>
  <w:p w:rsidR="007A0569" w:rsidRPr="004D57F0" w:rsidRDefault="000A5560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r w:rsidR="000A1B07">
      <w:fldChar w:fldCharType="begin"/>
    </w:r>
    <w:r w:rsidR="000A1B07" w:rsidRPr="0079084C">
      <w:rPr>
        <w:lang w:val="pl-PL"/>
      </w:rPr>
      <w:instrText xml:space="preserve"> HYPERLINK "http://www.media.ford.com/" \h </w:instrText>
    </w:r>
    <w:r w:rsidR="000A1B07">
      <w:fldChar w:fldCharType="separate"/>
    </w:r>
    <w:r>
      <w:rPr>
        <w:rStyle w:val="Hyperlink2"/>
        <w:rFonts w:ascii="Georgia" w:eastAsia="Arial Unicode MS" w:hAnsi="Georgia"/>
        <w:lang w:val="pl-PL"/>
      </w:rPr>
      <w:t>www.media.ford.com</w:t>
    </w:r>
    <w:r w:rsidR="000A1B07">
      <w:rPr>
        <w:rStyle w:val="Hyperlink2"/>
        <w:rFonts w:ascii="Georgia" w:eastAsia="Arial Unicode MS" w:hAnsi="Georgia"/>
        <w:lang w:val="pl-PL"/>
      </w:rPr>
      <w:fldChar w:fldCharType="end"/>
    </w:r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B07" w:rsidRDefault="000A1B07">
      <w:r>
        <w:separator/>
      </w:r>
    </w:p>
  </w:footnote>
  <w:footnote w:type="continuationSeparator" w:id="0">
    <w:p w:rsidR="000A1B07" w:rsidRDefault="000A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69" w:rsidRDefault="000A5560">
    <w:pPr>
      <w:pStyle w:val="Gwka"/>
      <w:tabs>
        <w:tab w:val="left" w:pos="1483"/>
      </w:tabs>
      <w:ind w:left="360"/>
    </w:pPr>
    <w:r>
      <w:t xml:space="preserve">               </w:t>
    </w:r>
  </w:p>
  <w:p w:rsidR="007A0569" w:rsidRDefault="007A0569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FF3"/>
    <w:multiLevelType w:val="multilevel"/>
    <w:tmpl w:val="161EB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A41D4"/>
    <w:multiLevelType w:val="multilevel"/>
    <w:tmpl w:val="3C8E9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69"/>
    <w:rsid w:val="000A1B07"/>
    <w:rsid w:val="000A5560"/>
    <w:rsid w:val="004D57F0"/>
    <w:rsid w:val="0079084C"/>
    <w:rsid w:val="007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56C99"/>
  <w15:docId w15:val="{F4E936C5-6A88-4560-8A2E-E224707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sz w:val="22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Zawartoramki">
    <w:name w:val="Zawartość ramki"/>
    <w:basedOn w:val="Normal"/>
    <w:qFormat/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wi554u9_z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ford.co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d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rporate.ford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682CC-5DB4-4C3E-A3AE-DC461DBE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2020-05-19T10:23:00Z</cp:lastPrinted>
  <dcterms:created xsi:type="dcterms:W3CDTF">2020-05-28T12:05:00Z</dcterms:created>
  <dcterms:modified xsi:type="dcterms:W3CDTF">2020-06-01T08:24:00Z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0x010100F881ACAC261E6A468687C357C9756DBC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