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19" w:rsidRDefault="00467333">
      <w:pPr>
        <w:pStyle w:val="NormalWeb"/>
        <w:pBdr>
          <w:bottom w:val="single" w:sz="6" w:space="1" w:color="00000A"/>
        </w:pBdr>
        <w:spacing w:beforeAutospacing="0" w:afterAutospacing="0"/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Nowy Ford </w:t>
      </w:r>
      <w:proofErr w:type="spellStart"/>
      <w:r>
        <w:rPr>
          <w:rFonts w:ascii="Ford Antenna Medium" w:hAnsi="Ford Antenna Medium" w:cs="Arial"/>
          <w:bCs/>
          <w:sz w:val="40"/>
          <w:szCs w:val="40"/>
          <w:lang w:val="pl-PL"/>
        </w:rPr>
        <w:t>Kuga</w:t>
      </w:r>
      <w:proofErr w:type="spellEnd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przejeżdża o niemal 30 procent większy dystans na litrze paliwa, uzyskując najlepsz</w:t>
      </w:r>
      <w:r w:rsidR="006E27ED">
        <w:rPr>
          <w:rFonts w:ascii="Ford Antenna Medium" w:hAnsi="Ford Antenna Medium" w:cs="Arial"/>
          <w:bCs/>
          <w:sz w:val="40"/>
          <w:szCs w:val="40"/>
          <w:lang w:val="pl-PL"/>
        </w:rPr>
        <w:t>e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w swojej klasie</w:t>
      </w:r>
      <w:r w:rsidR="006E27ED">
        <w:rPr>
          <w:rFonts w:ascii="Ford Antenna Medium" w:hAnsi="Ford Antenna Medium" w:cs="Arial"/>
          <w:bCs/>
          <w:sz w:val="40"/>
          <w:szCs w:val="40"/>
          <w:lang w:val="pl-PL"/>
        </w:rPr>
        <w:t xml:space="preserve"> zużycie paliwa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t>.</w:t>
      </w:r>
    </w:p>
    <w:p w:rsidR="00743B19" w:rsidRDefault="00743B19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743B19" w:rsidRDefault="00467333">
      <w:pPr>
        <w:pStyle w:val="BodyText2"/>
        <w:spacing w:line="240" w:lineRule="auto"/>
        <w:rPr>
          <w:lang w:val="pl-PL"/>
        </w:rPr>
      </w:pPr>
      <w:r>
        <w:rPr>
          <w:noProof/>
        </w:rPr>
        <w:drawing>
          <wp:inline distT="0" distB="0" distL="0" distR="0">
            <wp:extent cx="5943600" cy="3529965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19" w:rsidRDefault="00467333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31323BC2">
                <wp:extent cx="5944235" cy="17653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6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3B19" w:rsidRDefault="00467333">
                            <w:pPr>
                              <w:pStyle w:val="BodyText2"/>
                              <w:spacing w:beforeAutospacing="1" w:afterAutospacing="1" w:line="240" w:lineRule="auto"/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Nowy Ford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Kuga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oferuje zróżnicowaną gamę układów napędowych, w tym</w:t>
                            </w:r>
                            <w:r w:rsidR="007A16B2"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układ</w:t>
                            </w:r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hybrydowy napędowy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Kuga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 xml:space="preserve"> Plug-In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Hybrid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pl-PL"/>
                              </w:rPr>
                              <w:t>.</w:t>
                            </w:r>
                          </w:p>
                          <w:p w:rsidR="00743B19" w:rsidRDefault="00743B19">
                            <w:pPr>
                              <w:pStyle w:val="BodyText2"/>
                              <w:spacing w:line="240" w:lineRule="auto"/>
                              <w:rPr>
                                <w:rFonts w:ascii="Arial" w:eastAsia="Arial Unicode MS" w:hAnsi="Arial" w:cs="Arial"/>
                                <w:bCs/>
                                <w:sz w:val="21"/>
                                <w:szCs w:val="21"/>
                                <w:lang w:val="pl-PL"/>
                              </w:rPr>
                            </w:pPr>
                          </w:p>
                          <w:p w:rsidR="00743B19" w:rsidRPr="000D044A" w:rsidRDefault="00743B19">
                            <w:pPr>
                              <w:pStyle w:val="Zawartoramki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23BC2" id="Rectangle 2" o:spid="_x0000_s1026" style="width:468.05pt;height: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" fillcolor="black [3213]" stroked="f" strokeweight=".26mm">
                <v:textbox inset=",0,,0">
                  <w:txbxContent>
                    <w:p w:rsidR="00743B19" w:rsidRDefault="00467333">
                      <w:pPr>
                        <w:pStyle w:val="BodyText2"/>
                        <w:spacing w:beforeAutospacing="1" w:afterAutospacing="1" w:line="240" w:lineRule="auto"/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Nowy Ford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Kuga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oferuje zróżnicowaną gamę układów napędowych, w tym</w:t>
                      </w:r>
                      <w:r w:rsidR="007A16B2"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układ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hybrydowy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napędowy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Kuga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 xml:space="preserve"> Plug-In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Hybrid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  <w:bCs/>
                          <w:color w:val="FFFFFF" w:themeColor="background1"/>
                          <w:sz w:val="21"/>
                          <w:szCs w:val="21"/>
                          <w:lang w:val="pl-PL"/>
                        </w:rPr>
                        <w:t>.</w:t>
                      </w:r>
                    </w:p>
                    <w:p w:rsidR="00743B19" w:rsidRDefault="00743B19">
                      <w:pPr>
                        <w:pStyle w:val="BodyText2"/>
                        <w:spacing w:line="240" w:lineRule="auto"/>
                        <w:rPr>
                          <w:rFonts w:ascii="Arial" w:eastAsia="Arial Unicode MS" w:hAnsi="Arial" w:cs="Arial"/>
                          <w:bCs/>
                          <w:sz w:val="21"/>
                          <w:szCs w:val="21"/>
                          <w:lang w:val="pl-PL"/>
                        </w:rPr>
                      </w:pPr>
                    </w:p>
                    <w:p w:rsidR="00743B19" w:rsidRPr="000D044A" w:rsidRDefault="00743B19">
                      <w:pPr>
                        <w:pStyle w:val="Zawartoramki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43B19" w:rsidRDefault="00743B19">
      <w:pPr>
        <w:rPr>
          <w:rFonts w:ascii="Arial" w:hAnsi="Arial" w:cs="Arial"/>
          <w:b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Ford właśnie ogłosił, że całkowicie nowy SUV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będzie zapewniał najlepsz</w:t>
      </w:r>
      <w:r w:rsidR="0097578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w swojej klasie zużyci</w:t>
      </w:r>
      <w:r w:rsidR="0097578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paliwa, a jego zasięg poprawi się średnio nawet o 28% według danych porównawczych.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Nowy Ford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jest najwszechstronniej zelektryfikowanym pojazdem Forda w historii i pierwszym, który oferuje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systemy hybrydowych układów napędowych </w:t>
      </w:r>
      <w:r w:rsidR="007A16B2">
        <w:rPr>
          <w:rFonts w:ascii="Arial" w:hAnsi="Arial" w:cs="Arial"/>
          <w:sz w:val="21"/>
          <w:szCs w:val="21"/>
          <w:lang w:val="pl-PL"/>
        </w:rPr>
        <w:t>miękkie</w:t>
      </w:r>
      <w:r>
        <w:rPr>
          <w:rFonts w:ascii="Arial" w:hAnsi="Arial" w:cs="Arial"/>
          <w:sz w:val="21"/>
          <w:szCs w:val="21"/>
          <w:lang w:val="pl-PL"/>
        </w:rPr>
        <w:t>, pełne i</w:t>
      </w:r>
      <w:r w:rsidR="0097578F">
        <w:rPr>
          <w:rFonts w:ascii="Arial" w:hAnsi="Arial" w:cs="Arial"/>
          <w:sz w:val="21"/>
          <w:szCs w:val="21"/>
          <w:lang w:val="pl-PL"/>
        </w:rPr>
        <w:t xml:space="preserve"> Plug-in</w:t>
      </w:r>
      <w:r>
        <w:rPr>
          <w:rFonts w:ascii="Arial" w:hAnsi="Arial" w:cs="Arial"/>
          <w:sz w:val="21"/>
          <w:szCs w:val="21"/>
          <w:lang w:val="pl-PL"/>
        </w:rPr>
        <w:t xml:space="preserve">. Zaawansowane układy napędowe są wspierane przez udoskonaloną aerodynamikę i rozwiązania redukujące masę samochodu. 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97578F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</w:t>
      </w:r>
      <w:r w:rsidR="00467333">
        <w:rPr>
          <w:rFonts w:ascii="Arial" w:hAnsi="Arial" w:cs="Arial"/>
          <w:sz w:val="21"/>
          <w:szCs w:val="21"/>
          <w:lang w:val="pl-PL"/>
        </w:rPr>
        <w:t xml:space="preserve">ystem hybrydowy </w:t>
      </w:r>
      <w:r>
        <w:rPr>
          <w:rFonts w:ascii="Arial" w:hAnsi="Arial" w:cs="Arial"/>
          <w:sz w:val="21"/>
          <w:szCs w:val="21"/>
          <w:lang w:val="pl-PL"/>
        </w:rPr>
        <w:t>P</w:t>
      </w:r>
      <w:r w:rsidR="00467333">
        <w:rPr>
          <w:rFonts w:ascii="Arial" w:hAnsi="Arial" w:cs="Arial"/>
          <w:sz w:val="21"/>
          <w:szCs w:val="21"/>
          <w:lang w:val="pl-PL"/>
        </w:rPr>
        <w:t xml:space="preserve">lug-in w modelu </w:t>
      </w:r>
      <w:proofErr w:type="spellStart"/>
      <w:r w:rsidR="00467333"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 w:rsidR="00467333">
        <w:rPr>
          <w:rFonts w:ascii="Arial" w:hAnsi="Arial" w:cs="Arial"/>
          <w:sz w:val="21"/>
          <w:szCs w:val="21"/>
          <w:lang w:val="pl-PL"/>
        </w:rPr>
        <w:t xml:space="preserve"> pomógł w uzyskaniu najlepsze</w:t>
      </w:r>
      <w:r>
        <w:rPr>
          <w:rFonts w:ascii="Arial" w:hAnsi="Arial" w:cs="Arial"/>
          <w:sz w:val="21"/>
          <w:szCs w:val="21"/>
          <w:lang w:val="pl-PL"/>
        </w:rPr>
        <w:t>go</w:t>
      </w:r>
      <w:r w:rsidR="00467333">
        <w:rPr>
          <w:rFonts w:ascii="Arial" w:hAnsi="Arial" w:cs="Arial"/>
          <w:sz w:val="21"/>
          <w:szCs w:val="21"/>
          <w:lang w:val="pl-PL"/>
        </w:rPr>
        <w:t xml:space="preserve"> zużycia paliwa, najniższej emisji CO</w:t>
      </w:r>
      <w:r w:rsidR="00467333"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 w:rsidR="009E25CA">
        <w:rPr>
          <w:rFonts w:ascii="Arial" w:hAnsi="Arial" w:cs="Arial"/>
          <w:sz w:val="21"/>
          <w:szCs w:val="21"/>
          <w:vertAlign w:val="subscript"/>
          <w:lang w:val="pl-PL"/>
        </w:rPr>
        <w:t xml:space="preserve"> </w:t>
      </w:r>
      <w:r w:rsidR="00467333">
        <w:rPr>
          <w:rFonts w:ascii="Arial" w:hAnsi="Arial" w:cs="Arial"/>
          <w:sz w:val="21"/>
          <w:szCs w:val="21"/>
          <w:lang w:val="pl-PL"/>
        </w:rPr>
        <w:t xml:space="preserve">i największego czysto elektrycznego zasięgu jazdy w klasie średniej wielkości samochodów SUV, z możliwością pokonania 72 kilometrów w trybie jazdy bez emisji spalin (NEDC). 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Porównując poszczególne, całkowicie nowe układy napędowe modelu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ich odpowiednikami pod względem mocy maksymalnej i konfiguracji układów napędowych z gamy poprzedniej generacji, uzyskano poprawę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zużycia </w:t>
      </w:r>
      <w:r>
        <w:rPr>
          <w:rFonts w:ascii="Arial" w:hAnsi="Arial" w:cs="Arial"/>
          <w:sz w:val="21"/>
          <w:szCs w:val="21"/>
          <w:lang w:val="pl-PL"/>
        </w:rPr>
        <w:t>paliw</w:t>
      </w:r>
      <w:r w:rsidR="009E25CA">
        <w:rPr>
          <w:rFonts w:ascii="Arial" w:hAnsi="Arial" w:cs="Arial"/>
          <w:sz w:val="21"/>
          <w:szCs w:val="21"/>
          <w:lang w:val="pl-PL"/>
        </w:rPr>
        <w:t>a</w:t>
      </w:r>
      <w:r>
        <w:rPr>
          <w:rFonts w:ascii="Arial" w:hAnsi="Arial" w:cs="Arial"/>
          <w:sz w:val="21"/>
          <w:szCs w:val="21"/>
          <w:lang w:val="pl-PL"/>
        </w:rPr>
        <w:t xml:space="preserve"> nawet o 28 procent (NEDC</w:t>
      </w:r>
      <w:proofErr w:type="gramStart"/>
      <w:r>
        <w:rPr>
          <w:rFonts w:ascii="Arial" w:hAnsi="Arial" w:cs="Arial"/>
          <w:sz w:val="21"/>
          <w:szCs w:val="21"/>
          <w:lang w:val="pl-PL"/>
        </w:rPr>
        <w:t>).*</w:t>
      </w:r>
      <w:proofErr w:type="gramEnd"/>
      <w:r>
        <w:rPr>
          <w:rFonts w:ascii="Arial" w:hAnsi="Arial" w:cs="Arial"/>
          <w:sz w:val="21"/>
          <w:szCs w:val="21"/>
          <w:lang w:val="pl-PL"/>
        </w:rPr>
        <w:t xml:space="preserve"> Włączając w to całkowicie nowe hybrydowe układy napędowe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możliwością jazdy przy zerowej emisji zanieczyszczeń w czysto elektrycznym trybie napędowym</w:t>
      </w:r>
      <w:r w:rsidR="007A16B2">
        <w:rPr>
          <w:rFonts w:ascii="Arial" w:hAnsi="Arial" w:cs="Arial"/>
          <w:sz w:val="21"/>
          <w:szCs w:val="21"/>
          <w:lang w:val="pl-PL"/>
        </w:rPr>
        <w:t>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7A16B2">
        <w:rPr>
          <w:rFonts w:ascii="Arial" w:hAnsi="Arial" w:cs="Arial"/>
          <w:sz w:val="21"/>
          <w:szCs w:val="21"/>
          <w:lang w:val="pl-PL"/>
        </w:rPr>
        <w:t>Ś</w:t>
      </w:r>
      <w:r>
        <w:rPr>
          <w:rFonts w:ascii="Arial" w:hAnsi="Arial" w:cs="Arial"/>
          <w:sz w:val="21"/>
          <w:szCs w:val="21"/>
          <w:lang w:val="pl-PL"/>
        </w:rPr>
        <w:t>redni</w:t>
      </w:r>
      <w:r w:rsidR="0097578F">
        <w:rPr>
          <w:rFonts w:ascii="Arial" w:hAnsi="Arial" w:cs="Arial"/>
          <w:sz w:val="21"/>
          <w:szCs w:val="21"/>
          <w:lang w:val="pl-PL"/>
        </w:rPr>
        <w:t xml:space="preserve">e zużycie </w:t>
      </w:r>
      <w:r>
        <w:rPr>
          <w:rFonts w:ascii="Arial" w:hAnsi="Arial" w:cs="Arial"/>
          <w:sz w:val="21"/>
          <w:szCs w:val="21"/>
          <w:lang w:val="pl-PL"/>
        </w:rPr>
        <w:t>paliw</w:t>
      </w:r>
      <w:r w:rsidR="0097578F">
        <w:rPr>
          <w:rFonts w:ascii="Arial" w:hAnsi="Arial" w:cs="Arial"/>
          <w:sz w:val="21"/>
          <w:szCs w:val="21"/>
          <w:lang w:val="pl-PL"/>
        </w:rPr>
        <w:t>a</w:t>
      </w:r>
      <w:r>
        <w:rPr>
          <w:rFonts w:ascii="Arial" w:hAnsi="Arial" w:cs="Arial"/>
          <w:sz w:val="21"/>
          <w:szCs w:val="21"/>
          <w:lang w:val="pl-PL"/>
        </w:rPr>
        <w:t xml:space="preserve"> całej gamy został</w:t>
      </w:r>
      <w:r w:rsidR="0097578F">
        <w:rPr>
          <w:rFonts w:ascii="Arial" w:hAnsi="Arial" w:cs="Arial"/>
          <w:sz w:val="21"/>
          <w:szCs w:val="21"/>
          <w:lang w:val="pl-PL"/>
        </w:rPr>
        <w:t>o</w:t>
      </w:r>
      <w:r>
        <w:rPr>
          <w:rFonts w:ascii="Arial" w:hAnsi="Arial" w:cs="Arial"/>
          <w:sz w:val="21"/>
          <w:szCs w:val="21"/>
          <w:lang w:val="pl-PL"/>
        </w:rPr>
        <w:t xml:space="preserve"> poprawion</w:t>
      </w:r>
      <w:r w:rsidR="0097578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o 31 procent. </w:t>
      </w:r>
    </w:p>
    <w:p w:rsidR="007A16B2" w:rsidRDefault="007A16B2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Plug-In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(</w:t>
      </w:r>
      <w:r w:rsidR="007A16B2">
        <w:rPr>
          <w:rFonts w:ascii="Arial" w:hAnsi="Arial" w:cs="Arial"/>
          <w:sz w:val="21"/>
          <w:szCs w:val="21"/>
          <w:lang w:val="pl-PL"/>
        </w:rPr>
        <w:t>mi</w:t>
      </w:r>
      <w:r w:rsidR="0097578F">
        <w:rPr>
          <w:rFonts w:ascii="Arial" w:hAnsi="Arial" w:cs="Arial"/>
          <w:sz w:val="21"/>
          <w:szCs w:val="21"/>
          <w:lang w:val="pl-PL"/>
        </w:rPr>
        <w:t>ę</w:t>
      </w:r>
      <w:r w:rsidR="007A16B2">
        <w:rPr>
          <w:rFonts w:ascii="Arial" w:hAnsi="Arial" w:cs="Arial"/>
          <w:sz w:val="21"/>
          <w:szCs w:val="21"/>
          <w:lang w:val="pl-PL"/>
        </w:rPr>
        <w:t>kka</w:t>
      </w:r>
      <w:r>
        <w:rPr>
          <w:rFonts w:ascii="Arial" w:hAnsi="Arial" w:cs="Arial"/>
          <w:sz w:val="21"/>
          <w:szCs w:val="21"/>
          <w:lang w:val="pl-PL"/>
        </w:rPr>
        <w:t xml:space="preserve"> hybryda 48 V) wprowadzają po raz pierwszy zelektryfikowane układy napędowe do gamy modelu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wersje te będą dostępne w sprzedaży jeszcze w tym roku. Wkrótce pojawi się także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 pełnym hybrydowym,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samoczynnie </w:t>
      </w:r>
      <w:r>
        <w:rPr>
          <w:rFonts w:ascii="Arial" w:hAnsi="Arial" w:cs="Arial"/>
          <w:sz w:val="21"/>
          <w:szCs w:val="21"/>
          <w:lang w:val="pl-PL"/>
        </w:rPr>
        <w:t xml:space="preserve">ładującym się systemem napędowym. Dostępne są również zaawansowane silniki wysokoprężne Ford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benzynowe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Wbudowana konstrukcyjnie wydajność</w:t>
      </w: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AE04521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810" cy="14605"/>
                <wp:effectExtent l="0" t="0" r="9525" b="5080"/>
                <wp:wrapNone/>
                <wp:docPr id="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2pt,1.05pt" ID="Straight Connector 9" stroked="t" style="position:absolute;flip:y;mso-position-horizontal-relative:margin" wp14:anchorId="2AE04521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43B19" w:rsidRDefault="00467333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Nowy Ford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jest pierwszym SUV-em opartym na nowej, globalnej, elastycznej przednionapędowej architekturze Forda, która wspiera lepszą aerodynamikę służącą </w:t>
      </w:r>
      <w:proofErr w:type="spellStart"/>
      <w:r w:rsidR="0097578F">
        <w:rPr>
          <w:rFonts w:ascii="Arial" w:hAnsi="Arial" w:cs="Arial"/>
          <w:sz w:val="21"/>
          <w:szCs w:val="21"/>
          <w:lang w:val="pl-PL"/>
        </w:rPr>
        <w:t>zmiejszeniu</w:t>
      </w:r>
      <w:proofErr w:type="spellEnd"/>
      <w:r w:rsidR="0097578F">
        <w:rPr>
          <w:rFonts w:ascii="Arial" w:hAnsi="Arial" w:cs="Arial"/>
          <w:sz w:val="21"/>
          <w:szCs w:val="21"/>
          <w:lang w:val="pl-PL"/>
        </w:rPr>
        <w:t xml:space="preserve"> </w:t>
      </w:r>
      <w:r w:rsidR="009E25CA">
        <w:rPr>
          <w:rFonts w:ascii="Arial" w:hAnsi="Arial" w:cs="Arial"/>
          <w:sz w:val="21"/>
          <w:szCs w:val="21"/>
          <w:lang w:val="pl-PL"/>
        </w:rPr>
        <w:t>z</w:t>
      </w:r>
      <w:r w:rsidR="0097578F">
        <w:rPr>
          <w:rFonts w:ascii="Arial" w:hAnsi="Arial" w:cs="Arial"/>
          <w:sz w:val="21"/>
          <w:szCs w:val="21"/>
          <w:lang w:val="pl-PL"/>
        </w:rPr>
        <w:t xml:space="preserve">użycia </w:t>
      </w:r>
      <w:r>
        <w:rPr>
          <w:rFonts w:ascii="Arial" w:hAnsi="Arial" w:cs="Arial"/>
          <w:sz w:val="21"/>
          <w:szCs w:val="21"/>
          <w:lang w:val="pl-PL"/>
        </w:rPr>
        <w:t>paliw</w:t>
      </w:r>
      <w:r w:rsidR="0097578F">
        <w:rPr>
          <w:rFonts w:ascii="Arial" w:hAnsi="Arial" w:cs="Arial"/>
          <w:sz w:val="21"/>
          <w:szCs w:val="21"/>
          <w:lang w:val="pl-PL"/>
        </w:rPr>
        <w:t>a</w:t>
      </w:r>
      <w:r>
        <w:rPr>
          <w:rFonts w:ascii="Arial" w:hAnsi="Arial" w:cs="Arial"/>
          <w:sz w:val="21"/>
          <w:szCs w:val="21"/>
          <w:lang w:val="pl-PL"/>
        </w:rPr>
        <w:t xml:space="preserve"> i ogranicza masę w porównaniu do modeli poprzedniej generacji nawet o 80 kg przy porównywaniu równoważnych wariantów układu napędowego.</w:t>
      </w:r>
    </w:p>
    <w:p w:rsidR="00743B19" w:rsidRDefault="00743B19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Szerokie </w:t>
      </w:r>
      <w:r w:rsidR="007A16B2">
        <w:rPr>
          <w:rFonts w:ascii="Arial" w:hAnsi="Arial" w:cs="Arial"/>
          <w:sz w:val="21"/>
          <w:szCs w:val="21"/>
          <w:lang w:val="pl-PL"/>
        </w:rPr>
        <w:t>za</w:t>
      </w:r>
      <w:r>
        <w:rPr>
          <w:rFonts w:ascii="Arial" w:hAnsi="Arial" w:cs="Arial"/>
          <w:sz w:val="21"/>
          <w:szCs w:val="21"/>
          <w:lang w:val="pl-PL"/>
        </w:rPr>
        <w:t xml:space="preserve">stosowanie aluminium pozwoliło na zmniejszenie masy całej konstrukcji modelu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. Użycie aluminiowych wahaczy zawieszenia pozwoliło </w:t>
      </w:r>
      <w:r>
        <w:rPr>
          <w:rFonts w:ascii="Arial" w:hAnsi="Arial" w:cs="Arial"/>
          <w:b/>
          <w:sz w:val="21"/>
          <w:szCs w:val="21"/>
          <w:lang w:val="pl-PL"/>
        </w:rPr>
        <w:t>zaoszczędzić 6,8 kg</w:t>
      </w:r>
      <w:r>
        <w:rPr>
          <w:rFonts w:ascii="Arial" w:hAnsi="Arial" w:cs="Arial"/>
          <w:sz w:val="21"/>
          <w:szCs w:val="21"/>
          <w:lang w:val="pl-PL"/>
        </w:rPr>
        <w:t xml:space="preserve">, kompozytowo-aluminiowa belka zderzaka </w:t>
      </w:r>
      <w:r>
        <w:rPr>
          <w:rFonts w:ascii="Arial" w:hAnsi="Arial" w:cs="Arial"/>
          <w:b/>
          <w:sz w:val="21"/>
          <w:szCs w:val="21"/>
          <w:lang w:val="pl-PL"/>
        </w:rPr>
        <w:t>zmniejszyła masę o 6,1 kg</w:t>
      </w:r>
      <w:r>
        <w:rPr>
          <w:rFonts w:ascii="Arial" w:hAnsi="Arial" w:cs="Arial"/>
          <w:sz w:val="21"/>
          <w:szCs w:val="21"/>
          <w:lang w:val="pl-PL"/>
        </w:rPr>
        <w:t xml:space="preserve">, a lżejszy układ hamulcowy pozwolił </w:t>
      </w:r>
      <w:r>
        <w:rPr>
          <w:rFonts w:ascii="Arial" w:hAnsi="Arial" w:cs="Arial"/>
          <w:b/>
          <w:sz w:val="21"/>
          <w:szCs w:val="21"/>
          <w:lang w:val="pl-PL"/>
        </w:rPr>
        <w:t>odchudzić samochód o kolejne 0,8 kg</w:t>
      </w:r>
      <w:r>
        <w:rPr>
          <w:rFonts w:ascii="Arial" w:hAnsi="Arial" w:cs="Arial"/>
          <w:sz w:val="21"/>
          <w:szCs w:val="21"/>
          <w:lang w:val="pl-PL"/>
        </w:rPr>
        <w:t xml:space="preserve">. </w:t>
      </w:r>
    </w:p>
    <w:p w:rsidR="00743B19" w:rsidRDefault="00743B19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Sprawność aerodynamiczna jest lepsza w porównaniu z poprzednim modelem, mimo zwiększenia wymiarów samochodu. Zoptymalizowane osłony podwozia, uszczelki drzwi i relingi dachowe montowane w jednej płaszczyźnie z powierzchnią dachu przyczyniają się do zmniejszenia oporu powietrza o prawie 4 procent.</w:t>
      </w:r>
    </w:p>
    <w:p w:rsidR="00743B19" w:rsidRDefault="00743B19">
      <w:pPr>
        <w:rPr>
          <w:rFonts w:ascii="Arial" w:hAnsi="Arial" w:cs="Arial"/>
          <w:b/>
          <w:sz w:val="21"/>
          <w:szCs w:val="21"/>
          <w:lang w:val="pl-PL"/>
        </w:rPr>
      </w:pP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Zróżnicowanie układów napędowych</w:t>
      </w: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F9BB17D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810" cy="14605"/>
                <wp:effectExtent l="0" t="0" r="9525" b="5080"/>
                <wp:wrapNone/>
                <wp:docPr id="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2pt,1.05pt" ID="Straight Connector 8" stroked="t" style="position:absolute;flip:y;mso-position-horizontal-relative:margin" wp14:anchorId="0F9BB17D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43B19" w:rsidRPr="009E25CA" w:rsidRDefault="00467333">
      <w:pPr>
        <w:rPr>
          <w:rFonts w:ascii="Arial" w:hAnsi="Arial" w:cs="Arial"/>
          <w:sz w:val="21"/>
          <w:szCs w:val="21"/>
          <w:lang w:val="pl-PL"/>
        </w:rPr>
      </w:pPr>
      <w:proofErr w:type="spellStart"/>
      <w:r w:rsidRPr="009E25CA"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 w:rsidRPr="009E25CA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97578F" w:rsidRPr="009E25CA">
        <w:rPr>
          <w:rFonts w:ascii="Arial" w:hAnsi="Arial" w:cs="Arial"/>
          <w:b/>
          <w:sz w:val="21"/>
          <w:szCs w:val="21"/>
          <w:lang w:val="pl-PL"/>
        </w:rPr>
        <w:t xml:space="preserve">2.5 PHEV </w:t>
      </w:r>
      <w:r w:rsidRPr="009E25CA">
        <w:rPr>
          <w:rFonts w:ascii="Arial" w:hAnsi="Arial" w:cs="Arial"/>
          <w:b/>
          <w:sz w:val="21"/>
          <w:szCs w:val="21"/>
          <w:lang w:val="pl-PL"/>
        </w:rPr>
        <w:t xml:space="preserve">Plug-In </w:t>
      </w:r>
      <w:proofErr w:type="spellStart"/>
      <w:r w:rsidRPr="009E25CA">
        <w:rPr>
          <w:rFonts w:ascii="Arial" w:hAnsi="Arial" w:cs="Arial"/>
          <w:b/>
          <w:sz w:val="21"/>
          <w:szCs w:val="21"/>
          <w:lang w:val="pl-PL"/>
        </w:rPr>
        <w:t>Hybrid</w:t>
      </w:r>
      <w:proofErr w:type="spellEnd"/>
      <w:r w:rsidRPr="009E25CA">
        <w:rPr>
          <w:rFonts w:ascii="Arial" w:hAnsi="Arial" w:cs="Arial"/>
          <w:sz w:val="21"/>
          <w:szCs w:val="21"/>
          <w:lang w:val="pl-PL"/>
        </w:rPr>
        <w:t>:</w:t>
      </w:r>
    </w:p>
    <w:p w:rsidR="00743B19" w:rsidRDefault="004673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Łączy 2,5-litrowy silnik spalinowy pracujący w cyklu Atkinsona, silnik elektryczny i generator z akumulatorem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litowo</w:t>
      </w:r>
      <w:proofErr w:type="spellEnd"/>
      <w:r>
        <w:rPr>
          <w:rFonts w:ascii="Arial" w:hAnsi="Arial" w:cs="Arial"/>
          <w:sz w:val="21"/>
          <w:szCs w:val="21"/>
          <w:lang w:val="pl-PL"/>
        </w:rPr>
        <w:t>-jonowym o pojemności 14,4 kWh</w:t>
      </w:r>
      <w:r w:rsidR="007A16B2">
        <w:rPr>
          <w:rFonts w:ascii="Arial" w:hAnsi="Arial" w:cs="Arial"/>
          <w:sz w:val="21"/>
          <w:szCs w:val="21"/>
          <w:lang w:val="pl-PL"/>
        </w:rPr>
        <w:t>,</w:t>
      </w:r>
    </w:p>
    <w:p w:rsidR="007A16B2" w:rsidRDefault="007A16B2" w:rsidP="007A16B2">
      <w:pPr>
        <w:pStyle w:val="ListParagraph"/>
        <w:ind w:left="36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Akumulator może być ładowany poprzez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gniazdko </w:t>
      </w:r>
      <w:r>
        <w:rPr>
          <w:rFonts w:ascii="Arial" w:hAnsi="Arial" w:cs="Arial"/>
          <w:sz w:val="21"/>
          <w:szCs w:val="21"/>
          <w:lang w:val="pl-PL"/>
        </w:rPr>
        <w:t>ładowania umieszczon</w:t>
      </w:r>
      <w:r w:rsidR="0097578F">
        <w:rPr>
          <w:rFonts w:ascii="Arial" w:hAnsi="Arial" w:cs="Arial"/>
          <w:sz w:val="21"/>
          <w:szCs w:val="21"/>
          <w:lang w:val="pl-PL"/>
        </w:rPr>
        <w:t>e</w:t>
      </w:r>
      <w:r>
        <w:rPr>
          <w:rFonts w:ascii="Arial" w:hAnsi="Arial" w:cs="Arial"/>
          <w:sz w:val="21"/>
          <w:szCs w:val="21"/>
          <w:lang w:val="pl-PL"/>
        </w:rPr>
        <w:t xml:space="preserve"> w przednim błotniku, jest też automatycznie doładowywany w czasie jazdy dzięki rekuperacji energii polegającej na zamianie dotychczas traconej energii kinetycznej na energię elektryczną w czasie hamowania</w:t>
      </w:r>
      <w:r w:rsidR="007A16B2">
        <w:rPr>
          <w:rFonts w:ascii="Arial" w:hAnsi="Arial" w:cs="Arial"/>
          <w:sz w:val="21"/>
          <w:szCs w:val="21"/>
          <w:lang w:val="pl-PL"/>
        </w:rPr>
        <w:t>,</w:t>
      </w:r>
    </w:p>
    <w:p w:rsidR="007A16B2" w:rsidRPr="007A16B2" w:rsidRDefault="007A16B2" w:rsidP="007A16B2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Kierowca może decydować, kiedy i jak korzystać z zasilania akumulatorowego, dokonując wyboru jednego z trybów jazdy: EV Auto, EV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Now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EV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Later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i EV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Charge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. Gdy akumulator osiągnie minimalny stan naładowania,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automatycznie powraca do trybu EV Auto, wspomagając silnik benzynowy silnikiem elektrycznym z wykorzystaniem odzyskanej energii w celu optymalizacji zużycia paliwa.  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97578F">
        <w:rPr>
          <w:rFonts w:ascii="Arial" w:hAnsi="Arial" w:cs="Arial"/>
          <w:b/>
          <w:sz w:val="21"/>
          <w:szCs w:val="21"/>
          <w:lang w:val="pl-PL"/>
        </w:rPr>
        <w:t xml:space="preserve">2.0 MHEV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43B19" w:rsidRDefault="0046733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Udoskonalono silnik wysokoprężny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150 KM, o pojemności 2,0-</w:t>
      </w:r>
      <w:r w:rsidR="007A16B2">
        <w:rPr>
          <w:rFonts w:ascii="Arial" w:hAnsi="Arial" w:cs="Arial"/>
          <w:sz w:val="21"/>
          <w:szCs w:val="21"/>
          <w:lang w:val="pl-PL"/>
        </w:rPr>
        <w:t>litrów</w:t>
      </w:r>
      <w:r>
        <w:rPr>
          <w:rFonts w:ascii="Arial" w:hAnsi="Arial" w:cs="Arial"/>
          <w:sz w:val="21"/>
          <w:szCs w:val="21"/>
          <w:lang w:val="pl-PL"/>
        </w:rPr>
        <w:t xml:space="preserve">, dodając 48-woltową instalację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miękkiej </w:t>
      </w:r>
      <w:r>
        <w:rPr>
          <w:rFonts w:ascii="Arial" w:hAnsi="Arial" w:cs="Arial"/>
          <w:sz w:val="21"/>
          <w:szCs w:val="21"/>
          <w:lang w:val="pl-PL"/>
        </w:rPr>
        <w:t>hybrydy</w:t>
      </w:r>
      <w:r w:rsidR="007A16B2">
        <w:rPr>
          <w:rFonts w:ascii="Arial" w:hAnsi="Arial" w:cs="Arial"/>
          <w:sz w:val="21"/>
          <w:szCs w:val="21"/>
          <w:lang w:val="pl-PL"/>
        </w:rPr>
        <w:t>,</w:t>
      </w:r>
    </w:p>
    <w:p w:rsidR="007A16B2" w:rsidRDefault="007A16B2" w:rsidP="007A16B2">
      <w:pPr>
        <w:pStyle w:val="ListParagraph"/>
        <w:ind w:left="36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 tym rozwiązaniu, standardowy alternator został zastąpiony zintegrowanym rozrusznikiem</w:t>
      </w:r>
      <w:r w:rsidR="0097578F">
        <w:rPr>
          <w:rFonts w:ascii="Arial" w:hAnsi="Arial" w:cs="Arial"/>
          <w:sz w:val="21"/>
          <w:szCs w:val="21"/>
          <w:lang w:val="pl-PL"/>
        </w:rPr>
        <w:t xml:space="preserve"> z funkcja alternatora</w:t>
      </w:r>
      <w:r>
        <w:rPr>
          <w:rFonts w:ascii="Arial" w:hAnsi="Arial" w:cs="Arial"/>
          <w:sz w:val="21"/>
          <w:szCs w:val="21"/>
          <w:lang w:val="pl-PL"/>
        </w:rPr>
        <w:t xml:space="preserve"> (BISG), napędzanym paskiem, który umożliwia magazynowanie energii odzyskiwanej podczas wytracania prędkości, którą następnie można wykorzystywać do ładowania zestawu chłodzonych powietrzem akumulatorów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litowo</w:t>
      </w:r>
      <w:proofErr w:type="spellEnd"/>
      <w:r>
        <w:rPr>
          <w:rFonts w:ascii="Arial" w:hAnsi="Arial" w:cs="Arial"/>
          <w:sz w:val="21"/>
          <w:szCs w:val="21"/>
          <w:lang w:val="pl-PL"/>
        </w:rPr>
        <w:t>-jonowych o napięciu znamionowym 48 V</w:t>
      </w:r>
      <w:r w:rsidR="007A16B2">
        <w:rPr>
          <w:rFonts w:ascii="Arial" w:hAnsi="Arial" w:cs="Arial"/>
          <w:sz w:val="21"/>
          <w:szCs w:val="21"/>
          <w:lang w:val="pl-PL"/>
        </w:rPr>
        <w:t>,</w:t>
      </w:r>
    </w:p>
    <w:p w:rsidR="007A16B2" w:rsidRPr="007A16B2" w:rsidRDefault="007A16B2" w:rsidP="007A16B2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BISG działa również jako silnik elektryczny wykorzystujący zmagazynowaną w akumulatorach energię, by zapewnić wspomaganie momentu obrotowego silnika podczas normalnej jazdy i </w:t>
      </w:r>
      <w:r>
        <w:rPr>
          <w:rFonts w:ascii="Arial" w:hAnsi="Arial" w:cs="Arial"/>
          <w:sz w:val="21"/>
          <w:szCs w:val="21"/>
          <w:lang w:val="pl-PL"/>
        </w:rPr>
        <w:lastRenderedPageBreak/>
        <w:t>przyspieszania, a także do zasilania elektrycznego osprzętu pojazdu. 48-woltowa instalacja elektryczna umożliwia wykorzystanie systemu Auto Start-Stop w częstszych sytuacjach, co zapewnia dodatkowe oszczędności paliwa.</w:t>
      </w:r>
    </w:p>
    <w:p w:rsidR="00743B19" w:rsidRDefault="00743B19">
      <w:pPr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="0097578F">
        <w:rPr>
          <w:rFonts w:ascii="Arial" w:hAnsi="Arial" w:cs="Arial"/>
          <w:b/>
          <w:sz w:val="21"/>
          <w:szCs w:val="21"/>
          <w:lang w:val="pl-PL"/>
        </w:rPr>
        <w:t xml:space="preserve">1.5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EcoBoost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43B19" w:rsidRDefault="0046733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Dostępny w wersjach 120 KM i 150 KM, 1,5-litrowy silnik benzynowy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EcoBoost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jest wyposażony w pierwszy w branży motoryzacyjnej system dezaktywacji jednego z cylindrów w silniku trzycylindrowym, pozwalający na dezaktywację tego cylindra przy niewielkim obciążeniu silnika.</w:t>
      </w:r>
    </w:p>
    <w:p w:rsidR="00743B19" w:rsidRDefault="00743B19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</w:p>
    <w:p w:rsidR="00743B19" w:rsidRDefault="00743B19">
      <w:pPr>
        <w:pStyle w:val="ListParagraph"/>
        <w:ind w:left="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>Kuga</w:t>
      </w:r>
      <w:proofErr w:type="spellEnd"/>
      <w:r w:rsidR="0097578F"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 xml:space="preserve"> 1.5 i 2.0</w:t>
      </w:r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 xml:space="preserve">: </w:t>
      </w:r>
    </w:p>
    <w:p w:rsidR="00743B19" w:rsidRDefault="0046733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Silniki wysokoprężne</w:t>
      </w:r>
      <w:r w:rsidR="007A16B2">
        <w:rPr>
          <w:rFonts w:ascii="Arial" w:hAnsi="Arial" w:cs="Arial"/>
          <w:sz w:val="21"/>
          <w:szCs w:val="21"/>
          <w:lang w:val="pl-PL"/>
        </w:rPr>
        <w:t xml:space="preserve"> o pojemności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7A16B2">
        <w:rPr>
          <w:rFonts w:ascii="Arial" w:hAnsi="Arial" w:cs="Arial"/>
          <w:sz w:val="21"/>
          <w:szCs w:val="21"/>
          <w:lang w:val="pl-PL"/>
        </w:rPr>
        <w:t>1,5</w:t>
      </w:r>
      <w:r w:rsidR="007A16B2">
        <w:rPr>
          <w:rFonts w:ascii="Arial" w:hAnsi="Arial" w:cs="Arial"/>
          <w:sz w:val="21"/>
          <w:szCs w:val="21"/>
          <w:lang w:val="pl-PL"/>
        </w:rPr>
        <w:noBreakHyphen/>
        <w:t xml:space="preserve"> litra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o mocy </w:t>
      </w:r>
      <w:r w:rsidR="0097578F">
        <w:rPr>
          <w:rFonts w:ascii="Arial" w:hAnsi="Arial" w:cs="Arial"/>
          <w:sz w:val="21"/>
          <w:szCs w:val="21"/>
          <w:lang w:val="pl-PL"/>
        </w:rPr>
        <w:t>12</w:t>
      </w:r>
      <w:r>
        <w:rPr>
          <w:rFonts w:ascii="Arial" w:hAnsi="Arial" w:cs="Arial"/>
          <w:sz w:val="21"/>
          <w:szCs w:val="21"/>
          <w:lang w:val="pl-PL"/>
        </w:rPr>
        <w:t>0 K</w:t>
      </w:r>
      <w:r w:rsidR="007A16B2">
        <w:rPr>
          <w:rFonts w:ascii="Arial" w:hAnsi="Arial" w:cs="Arial"/>
          <w:sz w:val="21"/>
          <w:szCs w:val="21"/>
          <w:lang w:val="pl-PL"/>
        </w:rPr>
        <w:t>M</w:t>
      </w:r>
      <w:r>
        <w:rPr>
          <w:rFonts w:ascii="Arial" w:hAnsi="Arial" w:cs="Arial"/>
          <w:sz w:val="21"/>
          <w:szCs w:val="21"/>
          <w:lang w:val="pl-PL"/>
        </w:rPr>
        <w:t xml:space="preserve"> oraz </w:t>
      </w:r>
      <w:r w:rsidR="0097578F">
        <w:rPr>
          <w:rFonts w:ascii="Arial" w:hAnsi="Arial" w:cs="Arial"/>
          <w:sz w:val="21"/>
          <w:szCs w:val="21"/>
          <w:lang w:val="pl-PL"/>
        </w:rPr>
        <w:t xml:space="preserve">2.0-litrów </w:t>
      </w:r>
      <w:r>
        <w:rPr>
          <w:rFonts w:ascii="Arial" w:hAnsi="Arial" w:cs="Arial"/>
          <w:sz w:val="21"/>
          <w:szCs w:val="21"/>
          <w:lang w:val="pl-PL"/>
        </w:rPr>
        <w:t>o mocy 1</w:t>
      </w:r>
      <w:r w:rsidR="0097578F">
        <w:rPr>
          <w:rFonts w:ascii="Arial" w:hAnsi="Arial" w:cs="Arial"/>
          <w:sz w:val="21"/>
          <w:szCs w:val="21"/>
          <w:lang w:val="pl-PL"/>
        </w:rPr>
        <w:t>9</w:t>
      </w:r>
      <w:r>
        <w:rPr>
          <w:rFonts w:ascii="Arial" w:hAnsi="Arial" w:cs="Arial"/>
          <w:sz w:val="21"/>
          <w:szCs w:val="21"/>
          <w:lang w:val="pl-PL"/>
        </w:rPr>
        <w:t>0 KM optymalizują zużycie paliwa i emisję spalin między innymi dzięki zastosowaniu wysokociśnieniowego wtrysku paliwa i zintegrowanego kolektora dolotowego.</w:t>
      </w:r>
    </w:p>
    <w:p w:rsidR="00743B19" w:rsidRDefault="00743B19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:rsidR="00743B19" w:rsidRDefault="00467333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 xml:space="preserve"> </w:t>
      </w:r>
      <w:r w:rsidR="0097578F"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 xml:space="preserve">2.5 HEV </w:t>
      </w: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: </w:t>
      </w:r>
    </w:p>
    <w:p w:rsidR="00743B19" w:rsidRDefault="0046733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Zapowiadana pod koniec tego roku wersja wykorzystuje w pełni hybrydowy układ napędowy z automatycznym ładowaniem regeneracyjnym, co umożliwia jazdę z napędem czysto elektrycznym. Układ zawiera 2,5-litrowy silnik benzynowy pracujący w obiegu Atkinsona, silnik elektryczny, generator, akumulator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>litowo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pl-PL"/>
        </w:rPr>
        <w:t xml:space="preserve">-jonowy oraz opracowaną przez Forda automatyczną skrzynię biegów łączącą oba źródła mocy. 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743B19" w:rsidRDefault="00743B19">
      <w:pPr>
        <w:rPr>
          <w:rFonts w:ascii="Arial" w:hAnsi="Arial" w:cs="Arial"/>
          <w:sz w:val="21"/>
          <w:szCs w:val="21"/>
          <w:shd w:val="clear" w:color="auto" w:fill="FFFFFF"/>
          <w:lang w:val="pl-PL"/>
        </w:rPr>
      </w:pPr>
    </w:p>
    <w:p w:rsidR="00743B19" w:rsidRDefault="00467333">
      <w:pPr>
        <w:pStyle w:val="ListParagraph"/>
        <w:ind w:left="0"/>
        <w:rPr>
          <w:rFonts w:ascii="Arial" w:hAnsi="Arial" w:cs="Arial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Ford zobowiązuje się do zelektryfikowania wszystkich przyszłych samochodów osobowych wprowadzanych na rynek, a do końca przyszłego roku wprowadzi w Europie 18 zelektryfikowanych pojazdów.</w:t>
      </w:r>
    </w:p>
    <w:p w:rsidR="00743B19" w:rsidRDefault="00743B19">
      <w:pPr>
        <w:pStyle w:val="ListParagraph"/>
        <w:ind w:left="0"/>
        <w:rPr>
          <w:rFonts w:ascii="Arial" w:hAnsi="Arial" w:cs="Arial"/>
          <w:b/>
          <w:sz w:val="21"/>
          <w:szCs w:val="21"/>
          <w:lang w:val="pl-PL"/>
        </w:rPr>
      </w:pP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Wiodąca w klasie </w:t>
      </w:r>
      <w:r w:rsidR="0097578F">
        <w:rPr>
          <w:rFonts w:ascii="Arial" w:hAnsi="Arial" w:cs="Arial"/>
          <w:b/>
          <w:sz w:val="21"/>
          <w:szCs w:val="21"/>
          <w:lang w:val="pl-PL"/>
        </w:rPr>
        <w:t>oszczędność</w:t>
      </w:r>
    </w:p>
    <w:p w:rsidR="00743B19" w:rsidRDefault="0046733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0A15515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810" cy="14605"/>
                <wp:effectExtent l="0" t="0" r="9525" b="5080"/>
                <wp:wrapNone/>
                <wp:docPr id="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2pt,1.05pt" ID="Straight Connector 13" stroked="t" style="position:absolute;flip:y;mso-position-horizontal-relative:margin" wp14:anchorId="60A15515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743B19" w:rsidRPr="00AD4545" w:rsidRDefault="00467333">
      <w:pPr>
        <w:pStyle w:val="BodyText2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Plug-In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zapewnia zużycie paliwa od </w:t>
      </w:r>
      <w:r w:rsidRPr="009E25CA">
        <w:rPr>
          <w:rFonts w:ascii="Arial" w:hAnsi="Arial" w:cs="Arial"/>
          <w:sz w:val="21"/>
          <w:szCs w:val="21"/>
          <w:lang w:val="pl-PL"/>
        </w:rPr>
        <w:t>1,</w:t>
      </w:r>
      <w:r w:rsidRPr="00AD4545">
        <w:rPr>
          <w:rFonts w:ascii="Arial" w:hAnsi="Arial" w:cs="Arial"/>
          <w:sz w:val="21"/>
          <w:szCs w:val="21"/>
          <w:lang w:val="pl-PL"/>
        </w:rPr>
        <w:t>2 l/100 km i emisję CO</w:t>
      </w:r>
      <w:r w:rsidRPr="00AD4545"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 w:rsidRPr="00AD4545">
        <w:rPr>
          <w:rFonts w:ascii="Arial" w:hAnsi="Arial" w:cs="Arial"/>
          <w:sz w:val="21"/>
          <w:szCs w:val="21"/>
          <w:lang w:val="pl-PL"/>
        </w:rPr>
        <w:t xml:space="preserve"> od 26 g/km w cyklu NEDC (</w:t>
      </w:r>
      <w:r w:rsidRPr="00AD4545">
        <w:rPr>
          <w:rFonts w:ascii="Arial" w:hAnsi="Arial" w:cs="Arial"/>
          <w:b/>
          <w:sz w:val="21"/>
          <w:szCs w:val="21"/>
          <w:lang w:val="pl-PL"/>
        </w:rPr>
        <w:t>od 1,4 l/100 km i od 32 g/km w cyklu WLTP</w:t>
      </w:r>
      <w:r w:rsidRPr="00AD4545">
        <w:rPr>
          <w:rFonts w:ascii="Arial" w:hAnsi="Arial" w:cs="Arial"/>
          <w:sz w:val="21"/>
          <w:szCs w:val="21"/>
          <w:lang w:val="pl-PL"/>
        </w:rPr>
        <w:t>) przy czysto elektrycznym zasięgu jazdy 72 km w cyklu NEDC (</w:t>
      </w:r>
      <w:r w:rsidRPr="00AD4545">
        <w:rPr>
          <w:rFonts w:ascii="Arial" w:hAnsi="Arial" w:cs="Arial"/>
          <w:b/>
          <w:sz w:val="21"/>
          <w:szCs w:val="21"/>
          <w:lang w:val="pl-PL"/>
        </w:rPr>
        <w:t>56 km w cyklu WLTP</w:t>
      </w:r>
      <w:r w:rsidRPr="00AD4545">
        <w:rPr>
          <w:rFonts w:ascii="Arial" w:hAnsi="Arial" w:cs="Arial"/>
          <w:sz w:val="21"/>
          <w:szCs w:val="21"/>
          <w:lang w:val="pl-PL"/>
        </w:rPr>
        <w:t>).</w:t>
      </w:r>
    </w:p>
    <w:p w:rsidR="007A16B2" w:rsidRDefault="007A16B2" w:rsidP="007A16B2">
      <w:pPr>
        <w:pStyle w:val="BodyText2"/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BodyText2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zapewnia zużycie paliwa od </w:t>
      </w:r>
      <w:r w:rsidRPr="00AD4545">
        <w:rPr>
          <w:rFonts w:ascii="Arial" w:hAnsi="Arial" w:cs="Arial"/>
          <w:sz w:val="21"/>
          <w:szCs w:val="21"/>
          <w:lang w:val="pl-PL"/>
        </w:rPr>
        <w:t>4,3 l/100 km i emisję CO</w:t>
      </w:r>
      <w:r w:rsidRPr="00AD4545"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 w:rsidRPr="00AD4545">
        <w:rPr>
          <w:rFonts w:ascii="Arial" w:hAnsi="Arial" w:cs="Arial"/>
          <w:sz w:val="21"/>
          <w:szCs w:val="21"/>
          <w:lang w:val="pl-PL"/>
        </w:rPr>
        <w:t xml:space="preserve"> od 111 g/km w cyklu NEDC (</w:t>
      </w:r>
      <w:r w:rsidRPr="00AD4545">
        <w:rPr>
          <w:rFonts w:ascii="Arial" w:hAnsi="Arial" w:cs="Arial"/>
          <w:b/>
          <w:sz w:val="21"/>
          <w:szCs w:val="21"/>
          <w:lang w:val="pl-PL"/>
        </w:rPr>
        <w:t>od 5,0 l/100 km i od 132 g/km w cyklu WLTP</w:t>
      </w:r>
      <w:r w:rsidRPr="00AD4545">
        <w:rPr>
          <w:rFonts w:ascii="Arial" w:hAnsi="Arial" w:cs="Arial"/>
          <w:sz w:val="21"/>
          <w:szCs w:val="21"/>
          <w:lang w:val="pl-PL"/>
        </w:rPr>
        <w:t>).</w:t>
      </w:r>
    </w:p>
    <w:p w:rsidR="007A16B2" w:rsidRDefault="007A16B2" w:rsidP="007A16B2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BodyText2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1,5-litrowy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EcoBoost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zapewnia zużycie paliwa od </w:t>
      </w:r>
      <w:r w:rsidRPr="00AD4545">
        <w:rPr>
          <w:rFonts w:ascii="Arial" w:hAnsi="Arial" w:cs="Arial"/>
          <w:sz w:val="21"/>
          <w:szCs w:val="21"/>
          <w:lang w:val="pl-PL"/>
        </w:rPr>
        <w:t>5,5 l/100 km i emisję CO</w:t>
      </w:r>
      <w:r w:rsidRPr="00AD4545"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 w:rsidR="007A16B2" w:rsidRPr="00AD4545">
        <w:rPr>
          <w:rFonts w:ascii="Arial" w:hAnsi="Arial" w:cs="Arial"/>
          <w:sz w:val="21"/>
          <w:szCs w:val="21"/>
          <w:vertAlign w:val="subscript"/>
          <w:lang w:val="pl-PL"/>
        </w:rPr>
        <w:t xml:space="preserve"> </w:t>
      </w:r>
      <w:r w:rsidRPr="00AD4545">
        <w:rPr>
          <w:rFonts w:ascii="Arial" w:hAnsi="Arial" w:cs="Arial"/>
          <w:sz w:val="21"/>
          <w:szCs w:val="21"/>
          <w:lang w:val="pl-PL"/>
        </w:rPr>
        <w:t>od 125 g/km</w:t>
      </w:r>
      <w:r>
        <w:rPr>
          <w:rFonts w:ascii="Arial" w:hAnsi="Arial" w:cs="Arial"/>
          <w:sz w:val="21"/>
          <w:szCs w:val="21"/>
          <w:lang w:val="pl-PL"/>
        </w:rPr>
        <w:t xml:space="preserve"> w cyklu NEDC</w:t>
      </w:r>
      <w:r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AD4545">
        <w:rPr>
          <w:rFonts w:ascii="Arial" w:hAnsi="Arial" w:cs="Arial"/>
          <w:sz w:val="21"/>
          <w:szCs w:val="21"/>
          <w:lang w:val="pl-PL"/>
        </w:rPr>
        <w:t>(</w:t>
      </w:r>
      <w:r w:rsidRPr="00AD4545">
        <w:rPr>
          <w:rFonts w:ascii="Arial" w:hAnsi="Arial" w:cs="Arial"/>
          <w:b/>
          <w:sz w:val="21"/>
          <w:szCs w:val="21"/>
          <w:lang w:val="pl-PL"/>
        </w:rPr>
        <w:t>od 6,6 l/100 km i od 150 g/km w cyklu WLTP</w:t>
      </w:r>
      <w:r w:rsidRPr="00AD4545">
        <w:rPr>
          <w:rFonts w:ascii="Arial" w:hAnsi="Arial" w:cs="Arial"/>
          <w:sz w:val="21"/>
          <w:szCs w:val="21"/>
          <w:lang w:val="pl-PL"/>
        </w:rPr>
        <w:t>).</w:t>
      </w:r>
    </w:p>
    <w:p w:rsidR="00AD4545" w:rsidRDefault="00AD4545" w:rsidP="00AD4545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743B19" w:rsidRDefault="00467333">
      <w:pPr>
        <w:pStyle w:val="BodyText2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1,5-litrowy diesel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zapewnia zużycie paliwa </w:t>
      </w:r>
      <w:r w:rsidRPr="00AD4545">
        <w:rPr>
          <w:rFonts w:ascii="Arial" w:hAnsi="Arial" w:cs="Arial"/>
          <w:sz w:val="21"/>
          <w:szCs w:val="21"/>
          <w:lang w:val="pl-PL"/>
        </w:rPr>
        <w:t>od 4,2 l/100 km i</w:t>
      </w:r>
      <w:r>
        <w:rPr>
          <w:rFonts w:ascii="Arial" w:hAnsi="Arial" w:cs="Arial"/>
          <w:sz w:val="21"/>
          <w:szCs w:val="21"/>
          <w:lang w:val="pl-PL"/>
        </w:rPr>
        <w:t xml:space="preserve"> emisję CO</w:t>
      </w:r>
      <w:r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sz w:val="21"/>
          <w:szCs w:val="21"/>
          <w:lang w:val="pl-PL"/>
        </w:rPr>
        <w:t>od 109 g/km w cyklu NEDC</w:t>
      </w:r>
      <w:r>
        <w:rPr>
          <w:rFonts w:ascii="Arial" w:hAnsi="Arial" w:cs="Arial"/>
          <w:b/>
          <w:sz w:val="21"/>
          <w:szCs w:val="21"/>
          <w:lang w:val="pl-PL"/>
        </w:rPr>
        <w:t xml:space="preserve"> (od 5,1 l/100 km i od 133 g/km w cyklu WLTP).</w:t>
      </w:r>
    </w:p>
    <w:p w:rsidR="00743B19" w:rsidRDefault="00467333">
      <w:pPr>
        <w:pStyle w:val="BodyText2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1"/>
          <w:szCs w:val="21"/>
          <w:lang w:val="pl-PL"/>
        </w:rPr>
      </w:pPr>
      <w:proofErr w:type="spellStart"/>
      <w:r>
        <w:rPr>
          <w:rFonts w:ascii="Arial" w:hAnsi="Arial" w:cs="Arial"/>
          <w:b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2,0-litrowy diesel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EcoBlue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zapewnia zużycie paliwa od </w:t>
      </w:r>
      <w:r w:rsidRPr="00AD4545">
        <w:rPr>
          <w:rFonts w:ascii="Arial" w:hAnsi="Arial" w:cs="Arial"/>
          <w:sz w:val="21"/>
          <w:szCs w:val="21"/>
          <w:lang w:val="pl-PL"/>
        </w:rPr>
        <w:t>4,8 l/100 km</w:t>
      </w:r>
      <w:r>
        <w:rPr>
          <w:rFonts w:ascii="Arial" w:hAnsi="Arial" w:cs="Arial"/>
          <w:sz w:val="21"/>
          <w:szCs w:val="21"/>
          <w:lang w:val="pl-PL"/>
        </w:rPr>
        <w:t xml:space="preserve"> i emisję CO</w:t>
      </w:r>
      <w:r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>
        <w:rPr>
          <w:rFonts w:ascii="Arial" w:hAnsi="Arial" w:cs="Arial"/>
          <w:sz w:val="21"/>
          <w:szCs w:val="21"/>
          <w:lang w:val="pl-PL"/>
        </w:rPr>
        <w:t xml:space="preserve"> od 127 g/km w cyklu NEDC</w:t>
      </w:r>
      <w:r>
        <w:rPr>
          <w:rFonts w:ascii="Arial" w:hAnsi="Arial" w:cs="Arial"/>
          <w:b/>
          <w:sz w:val="21"/>
          <w:szCs w:val="21"/>
          <w:lang w:val="pl-PL"/>
        </w:rPr>
        <w:t xml:space="preserve"> (od 5,9 l/100 km i od 155 g/km WLTP).</w:t>
      </w:r>
    </w:p>
    <w:p w:rsidR="00743B19" w:rsidRDefault="00743B1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E25CA" w:rsidRDefault="009E25CA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43B19" w:rsidRDefault="0046733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:rsidR="00743B19" w:rsidRDefault="00743B1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43B19" w:rsidRDefault="00743B19">
      <w:pPr>
        <w:rPr>
          <w:rFonts w:ascii="Arial" w:hAnsi="Arial"/>
          <w:lang w:val="pl-PL"/>
        </w:rPr>
      </w:pPr>
    </w:p>
    <w:p w:rsidR="00743B19" w:rsidRDefault="00467333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*Porównując model 2019 </w:t>
      </w:r>
      <w:proofErr w:type="spellStart"/>
      <w:r>
        <w:rPr>
          <w:rFonts w:ascii="Arial" w:hAnsi="Arial"/>
          <w:lang w:val="pl-PL"/>
        </w:rPr>
        <w:t>Kuga</w:t>
      </w:r>
      <w:proofErr w:type="spellEnd"/>
      <w:r>
        <w:rPr>
          <w:rFonts w:ascii="Arial" w:hAnsi="Arial"/>
          <w:lang w:val="pl-PL"/>
        </w:rPr>
        <w:t xml:space="preserve"> 120 KM z 2,0-litrowy</w:t>
      </w:r>
      <w:bookmarkStart w:id="0" w:name="_GoBack"/>
      <w:bookmarkEnd w:id="0"/>
      <w:r>
        <w:rPr>
          <w:rFonts w:ascii="Arial" w:hAnsi="Arial"/>
          <w:lang w:val="pl-PL"/>
        </w:rPr>
        <w:t xml:space="preserve">m silnikiem </w:t>
      </w:r>
      <w:proofErr w:type="spellStart"/>
      <w:r>
        <w:rPr>
          <w:rFonts w:ascii="Arial" w:hAnsi="Arial"/>
          <w:lang w:val="pl-PL"/>
        </w:rPr>
        <w:t>TDCi</w:t>
      </w:r>
      <w:proofErr w:type="spellEnd"/>
      <w:r>
        <w:rPr>
          <w:rFonts w:ascii="Arial" w:hAnsi="Arial"/>
          <w:lang w:val="pl-PL"/>
        </w:rPr>
        <w:t xml:space="preserve"> i sześciobiegową przekładnią automatyczną oraz model 2020 </w:t>
      </w:r>
      <w:proofErr w:type="spellStart"/>
      <w:r>
        <w:rPr>
          <w:rFonts w:ascii="Arial" w:hAnsi="Arial"/>
          <w:lang w:val="pl-PL"/>
        </w:rPr>
        <w:t>Kuga</w:t>
      </w:r>
      <w:proofErr w:type="spellEnd"/>
      <w:r>
        <w:rPr>
          <w:rFonts w:ascii="Arial" w:hAnsi="Arial"/>
          <w:lang w:val="pl-PL"/>
        </w:rPr>
        <w:t xml:space="preserve"> 120 KM z 1,5-litrowym silnikiem </w:t>
      </w:r>
      <w:proofErr w:type="spellStart"/>
      <w:r>
        <w:rPr>
          <w:rFonts w:ascii="Arial" w:hAnsi="Arial"/>
          <w:lang w:val="pl-PL"/>
        </w:rPr>
        <w:t>EcoBlue</w:t>
      </w:r>
      <w:proofErr w:type="spellEnd"/>
      <w:r>
        <w:rPr>
          <w:rFonts w:ascii="Arial" w:hAnsi="Arial"/>
          <w:lang w:val="pl-PL"/>
        </w:rPr>
        <w:t xml:space="preserve"> i ośmiobiegową przekładnią automatyczną.</w:t>
      </w:r>
    </w:p>
    <w:p w:rsidR="00743B19" w:rsidRDefault="00743B19">
      <w:pPr>
        <w:rPr>
          <w:rFonts w:ascii="Arial" w:hAnsi="Arial"/>
          <w:lang w:val="pl-PL"/>
        </w:rPr>
      </w:pPr>
    </w:p>
    <w:p w:rsidR="00743B19" w:rsidRDefault="00467333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Deklarowane zużycie paliwa/zużycie energii,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mierzone według NEDC oraz WLPT.</w:t>
      </w:r>
    </w:p>
    <w:p w:rsidR="00743B19" w:rsidRDefault="00743B19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743B19" w:rsidRDefault="00467333">
      <w:pPr>
        <w:jc w:val="both"/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:rsidR="00743B19" w:rsidRPr="000D044A" w:rsidRDefault="00467333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 oferującą samochody i usługi mobilne. Firma zatrudnia około 190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</w:t>
      </w:r>
      <w:proofErr w:type="gramStart"/>
      <w:r>
        <w:rPr>
          <w:rFonts w:ascii="Arial" w:hAnsi="Arial" w:cs="Arial"/>
          <w:i/>
          <w:iCs/>
          <w:szCs w:val="20"/>
          <w:lang w:val="pl-PL"/>
        </w:rPr>
        <w:t>w  rozwój</w:t>
      </w:r>
      <w:proofErr w:type="gramEnd"/>
      <w:r>
        <w:rPr>
          <w:rFonts w:ascii="Arial" w:hAnsi="Arial" w:cs="Arial"/>
          <w:i/>
          <w:iCs/>
          <w:szCs w:val="20"/>
          <w:lang w:val="pl-PL"/>
        </w:rPr>
        <w:t xml:space="preserve">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9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:rsidR="00743B19" w:rsidRDefault="00743B19">
      <w:pPr>
        <w:rPr>
          <w:rFonts w:ascii="Arial" w:hAnsi="Arial" w:cs="Arial"/>
          <w:i/>
          <w:iCs/>
          <w:szCs w:val="20"/>
          <w:lang w:val="pl-PL"/>
        </w:rPr>
      </w:pPr>
    </w:p>
    <w:p w:rsidR="00743B19" w:rsidRDefault="00467333">
      <w:pPr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Ford of Europe</w:t>
      </w:r>
      <w:r>
        <w:rPr>
          <w:rFonts w:ascii="Arial" w:hAnsi="Arial" w:cs="Arial"/>
          <w:i/>
          <w:iCs/>
          <w:szCs w:val="20"/>
          <w:lang w:val="pl-PL"/>
        </w:rPr>
        <w:t xml:space="preserve"> wytwarza, sprzedaje i serwisuje pojazdy marki Ford na 50 indywidualnych rynkach, zatrudniając około 46 tys. pracowników we własnych oddziałach i łącznie około 61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Customer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Division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:rsidR="00743B19" w:rsidRDefault="00743B19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138"/>
        <w:gridCol w:w="222"/>
      </w:tblGrid>
      <w:tr w:rsidR="00743B19">
        <w:tc>
          <w:tcPr>
            <w:tcW w:w="1372" w:type="dxa"/>
            <w:shd w:val="clear" w:color="auto" w:fill="auto"/>
          </w:tcPr>
          <w:p w:rsidR="00743B19" w:rsidRDefault="00AD4545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AD4545">
              <w:rPr>
                <w:rFonts w:ascii="Arial" w:hAnsi="Arial" w:cs="Arial"/>
                <w:b/>
                <w:noProof/>
                <w:szCs w:val="20"/>
                <w:lang w:val="pl-PL"/>
              </w:rPr>
              <w:drawing>
                <wp:inline distT="0" distB="0" distL="0" distR="0">
                  <wp:extent cx="5943600" cy="638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7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743B19">
        <w:tc>
          <w:tcPr>
            <w:tcW w:w="1372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743B19">
        <w:tc>
          <w:tcPr>
            <w:tcW w:w="1372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743B19">
        <w:tc>
          <w:tcPr>
            <w:tcW w:w="1372" w:type="dxa"/>
            <w:shd w:val="clear" w:color="auto" w:fill="auto"/>
          </w:tcPr>
          <w:p w:rsidR="00743B19" w:rsidRDefault="00743B19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:rsidR="00743B19" w:rsidRDefault="00743B19"/>
        </w:tc>
      </w:tr>
    </w:tbl>
    <w:p w:rsidR="00743B19" w:rsidRDefault="00743B19">
      <w:pPr>
        <w:pStyle w:val="NormalWeb"/>
        <w:shd w:val="clear" w:color="auto" w:fill="FFFFFF"/>
        <w:spacing w:beforeAutospacing="0" w:after="150" w:afterAutospacing="0"/>
      </w:pPr>
    </w:p>
    <w:sectPr w:rsidR="00743B19">
      <w:footerReference w:type="default" r:id="rId11"/>
      <w:footerReference w:type="first" r:id="rId12"/>
      <w:pgSz w:w="12240" w:h="15840"/>
      <w:pgMar w:top="1440" w:right="1440" w:bottom="864" w:left="1440" w:header="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BE" w:rsidRDefault="009039BE">
      <w:r>
        <w:separator/>
      </w:r>
    </w:p>
  </w:endnote>
  <w:endnote w:type="continuationSeparator" w:id="0">
    <w:p w:rsidR="009039BE" w:rsidRDefault="0090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43B19" w:rsidRPr="009E25CA">
      <w:tc>
        <w:tcPr>
          <w:tcW w:w="9467" w:type="dxa"/>
          <w:shd w:val="clear" w:color="auto" w:fill="auto"/>
        </w:tcPr>
        <w:p w:rsidR="00743B19" w:rsidRDefault="00467333">
          <w:pPr>
            <w:pStyle w:val="Stopka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64135" cy="145415"/>
                    <wp:effectExtent l="0" t="0" r="0" b="0"/>
                    <wp:wrapSquare wrapText="largest"/>
                    <wp:docPr id="19" name="Ramk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35" cy="145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743B19" w:rsidRDefault="00467333">
                                <w:pPr>
                                  <w:pStyle w:val="Stopka"/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.05pt;height:11.45pt;mso-wrap-distance-left:0pt;mso-wrap-distance-right:0pt;mso-wrap-distance-top:0pt;mso-wrap-distance-bottom:0pt;margin-top:0.05pt;mso-position-vertical-relative:text;margin-left:231.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 w:rsidR="00743B19" w:rsidRDefault="00743B19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:rsidR="00743B19" w:rsidRPr="000D044A" w:rsidRDefault="00467333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:rsidR="00743B19" w:rsidRPr="000D044A" w:rsidRDefault="00467333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:rsidR="00743B19" w:rsidRPr="000D044A" w:rsidRDefault="00743B19">
          <w:pPr>
            <w:pStyle w:val="Stopka"/>
            <w:rPr>
              <w:lang w:val="pl-PL"/>
            </w:rPr>
          </w:pPr>
        </w:p>
      </w:tc>
    </w:tr>
  </w:tbl>
  <w:p w:rsidR="00743B19" w:rsidRPr="000D044A" w:rsidRDefault="00743B1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19" w:rsidRDefault="00743B19">
    <w:pPr>
      <w:pStyle w:val="Stopka"/>
      <w:jc w:val="center"/>
    </w:pPr>
  </w:p>
  <w:p w:rsidR="00743B19" w:rsidRDefault="00743B19">
    <w:pPr>
      <w:pStyle w:val="Stopka"/>
      <w:jc w:val="center"/>
    </w:pPr>
  </w:p>
  <w:p w:rsidR="00743B19" w:rsidRPr="000D044A" w:rsidRDefault="00467333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9039BE">
      <w:fldChar w:fldCharType="begin"/>
    </w:r>
    <w:r w:rsidR="009039BE" w:rsidRPr="009E25CA">
      <w:rPr>
        <w:lang w:val="pl-PL"/>
      </w:rPr>
      <w:instrText xml:space="preserve"> HYPERLINK "http://www.fordmedia.eu/" \h </w:instrText>
    </w:r>
    <w:r w:rsidR="009039BE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9039BE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. </w:t>
    </w:r>
  </w:p>
  <w:p w:rsidR="00743B19" w:rsidRPr="000D044A" w:rsidRDefault="00467333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BE" w:rsidRDefault="009039BE">
      <w:r>
        <w:separator/>
      </w:r>
    </w:p>
  </w:footnote>
  <w:footnote w:type="continuationSeparator" w:id="0">
    <w:p w:rsidR="009039BE" w:rsidRDefault="0090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C90"/>
    <w:multiLevelType w:val="multilevel"/>
    <w:tmpl w:val="2A6E1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F6502"/>
    <w:multiLevelType w:val="multilevel"/>
    <w:tmpl w:val="76DA0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110A8"/>
    <w:multiLevelType w:val="multilevel"/>
    <w:tmpl w:val="7990F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BE6EFF"/>
    <w:multiLevelType w:val="multilevel"/>
    <w:tmpl w:val="07A45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594071"/>
    <w:multiLevelType w:val="multilevel"/>
    <w:tmpl w:val="E80E2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19"/>
    <w:rsid w:val="000D044A"/>
    <w:rsid w:val="00467333"/>
    <w:rsid w:val="006E27ED"/>
    <w:rsid w:val="00743B19"/>
    <w:rsid w:val="007A16B2"/>
    <w:rsid w:val="007E548F"/>
    <w:rsid w:val="009039BE"/>
    <w:rsid w:val="00936043"/>
    <w:rsid w:val="0097578F"/>
    <w:rsid w:val="009E25CA"/>
    <w:rsid w:val="00AD4545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E0778"/>
  <w15:docId w15:val="{559E8823-F1DC-4254-8D21-8E2F3284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uiPriority w:val="99"/>
    <w:qFormat/>
    <w:rsid w:val="008D26E8"/>
    <w:rPr>
      <w:sz w:val="24"/>
      <w:lang w:val="en-US" w:eastAsia="en-US" w:bidi="ar-SA"/>
    </w:rPr>
  </w:style>
  <w:style w:type="character" w:styleId="FollowedHyperlink">
    <w:name w:val="FollowedHyperlink"/>
    <w:qFormat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Stopka"/>
    <w:qFormat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qFormat/>
    <w:locked/>
    <w:rsid w:val="003A49F5"/>
    <w:rPr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AA51A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z w:val="20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pPr>
      <w:suppressAutoHyphens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6B2"/>
    <w:rPr>
      <w:szCs w:val="24"/>
      <w:lang w:eastAsia="en-US"/>
    </w:rPr>
  </w:style>
  <w:style w:type="paragraph" w:styleId="Footer">
    <w:name w:val="footer"/>
    <w:basedOn w:val="Normal"/>
    <w:link w:val="FooterChar1"/>
    <w:rsid w:val="007A16B2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7A16B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corporate.ford.com/homepag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3B01-D175-430E-B518-BF1A055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Golebiowski, Andrzej (A.)</dc:creator>
  <cp:lastModifiedBy>Golebiowski, Andrzej (A.)</cp:lastModifiedBy>
  <cp:revision>6</cp:revision>
  <cp:lastPrinted>2020-02-26T11:10:00Z</cp:lastPrinted>
  <dcterms:created xsi:type="dcterms:W3CDTF">2020-02-26T10:08:00Z</dcterms:created>
  <dcterms:modified xsi:type="dcterms:W3CDTF">2020-02-26T11:44:00Z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